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C8CBF" w14:textId="11CD51D8" w:rsidR="007C3423" w:rsidRPr="005E2DAB" w:rsidRDefault="00756357" w:rsidP="00EB06F4">
      <w:pPr>
        <w:spacing w:line="240" w:lineRule="auto"/>
        <w:jc w:val="center"/>
        <w:rPr>
          <w:rFonts w:ascii="Calibri" w:hAnsi="Calibri" w:cs="Calibri"/>
          <w:b/>
          <w:bCs/>
          <w:sz w:val="28"/>
          <w:szCs w:val="28"/>
        </w:rPr>
      </w:pPr>
      <w:r w:rsidRPr="005E2DAB">
        <w:rPr>
          <w:rFonts w:ascii="Calibri" w:hAnsi="Calibri" w:cs="Calibri"/>
          <w:b/>
          <w:bCs/>
          <w:sz w:val="28"/>
          <w:szCs w:val="28"/>
        </w:rPr>
        <w:t>﻿The mobilities slowdown and the reproduction of socio-spatial inequalities</w:t>
      </w:r>
    </w:p>
    <w:p w14:paraId="52166F70" w14:textId="3B0F3C50" w:rsidR="00072A03" w:rsidRPr="00945A65" w:rsidRDefault="00405F3B" w:rsidP="00EB06F4">
      <w:pPr>
        <w:spacing w:line="240" w:lineRule="auto"/>
        <w:jc w:val="center"/>
        <w:rPr>
          <w:rFonts w:ascii="Calibri" w:hAnsi="Calibri" w:cs="Calibri"/>
          <w:b/>
          <w:bCs/>
        </w:rPr>
      </w:pPr>
      <w:r w:rsidRPr="00405F3B">
        <w:rPr>
          <w:rFonts w:ascii="Calibri" w:hAnsi="Calibri" w:cs="Calibri"/>
          <w:b/>
          <w:bCs/>
        </w:rPr>
        <w:t>Supervisor</w:t>
      </w:r>
      <w:r w:rsidR="00EC6E58">
        <w:rPr>
          <w:rFonts w:ascii="Calibri" w:hAnsi="Calibri" w:cs="Calibri" w:hint="eastAsia"/>
          <w:b/>
          <w:bCs/>
        </w:rPr>
        <w:t>s</w:t>
      </w:r>
      <w:r w:rsidRPr="00405F3B">
        <w:rPr>
          <w:rFonts w:ascii="Calibri" w:hAnsi="Calibri" w:cs="Calibri"/>
          <w:b/>
          <w:bCs/>
        </w:rPr>
        <w:t xml:space="preserve">: </w:t>
      </w:r>
      <w:hyperlink r:id="rId4" w:history="1">
        <w:r w:rsidRPr="00C93B1E">
          <w:rPr>
            <w:rStyle w:val="Hyperlink"/>
            <w:rFonts w:ascii="Calibri" w:hAnsi="Calibri" w:cs="Calibri" w:hint="eastAsia"/>
            <w:b/>
            <w:bCs/>
          </w:rPr>
          <w:t>Prof</w:t>
        </w:r>
        <w:r w:rsidR="00C867E0" w:rsidRPr="00C93B1E">
          <w:rPr>
            <w:rStyle w:val="Hyperlink"/>
            <w:rFonts w:ascii="Calibri" w:hAnsi="Calibri" w:cs="Calibri" w:hint="eastAsia"/>
            <w:b/>
            <w:bCs/>
          </w:rPr>
          <w:t>.</w:t>
        </w:r>
        <w:r w:rsidRPr="00C93B1E">
          <w:rPr>
            <w:rStyle w:val="Hyperlink"/>
            <w:rFonts w:ascii="Calibri" w:hAnsi="Calibri" w:cs="Calibri" w:hint="eastAsia"/>
            <w:b/>
            <w:bCs/>
          </w:rPr>
          <w:t xml:space="preserve"> Nissa Finney</w:t>
        </w:r>
      </w:hyperlink>
      <w:r w:rsidR="00060BE7">
        <w:rPr>
          <w:rFonts w:ascii="Calibri" w:hAnsi="Calibri" w:cs="Calibri" w:hint="eastAsia"/>
          <w:b/>
          <w:bCs/>
        </w:rPr>
        <w:t xml:space="preserve"> </w:t>
      </w:r>
      <w:r w:rsidR="005E2DAB">
        <w:rPr>
          <w:rFonts w:ascii="Calibri" w:hAnsi="Calibri" w:cs="Calibri"/>
          <w:b/>
          <w:bCs/>
        </w:rPr>
        <w:t>and</w:t>
      </w:r>
      <w:r w:rsidR="00C867E0">
        <w:rPr>
          <w:rFonts w:ascii="Calibri" w:hAnsi="Calibri" w:cs="Calibri" w:hint="eastAsia"/>
          <w:b/>
          <w:bCs/>
        </w:rPr>
        <w:t xml:space="preserve"> </w:t>
      </w:r>
      <w:hyperlink r:id="rId5" w:history="1">
        <w:r w:rsidR="00C867E0" w:rsidRPr="005F313A">
          <w:rPr>
            <w:rStyle w:val="Hyperlink"/>
            <w:rFonts w:ascii="Calibri" w:hAnsi="Calibri" w:cs="Calibri" w:hint="eastAsia"/>
            <w:b/>
            <w:bCs/>
          </w:rPr>
          <w:t>Dr.</w:t>
        </w:r>
        <w:r w:rsidR="005E2DAB" w:rsidRPr="005F313A">
          <w:rPr>
            <w:rStyle w:val="Hyperlink"/>
            <w:rFonts w:ascii="Calibri" w:hAnsi="Calibri" w:cs="Calibri"/>
            <w:b/>
            <w:bCs/>
          </w:rPr>
          <w:t xml:space="preserve"> </w:t>
        </w:r>
        <w:r w:rsidR="00C867E0" w:rsidRPr="005F313A">
          <w:rPr>
            <w:rStyle w:val="Hyperlink"/>
            <w:rFonts w:ascii="Calibri" w:hAnsi="Calibri" w:cs="Calibri" w:hint="eastAsia"/>
            <w:b/>
            <w:bCs/>
          </w:rPr>
          <w:t>Qiong He</w:t>
        </w:r>
      </w:hyperlink>
    </w:p>
    <w:p w14:paraId="20EC2C8B" w14:textId="77777777" w:rsidR="005E2DAB" w:rsidRDefault="007C3423" w:rsidP="00667103">
      <w:pPr>
        <w:spacing w:line="240" w:lineRule="auto"/>
        <w:rPr>
          <w:rFonts w:ascii="Calibri" w:hAnsi="Calibri" w:cs="Calibri"/>
          <w:sz w:val="22"/>
          <w:szCs w:val="22"/>
        </w:rPr>
      </w:pPr>
      <w:r w:rsidRPr="0002065A">
        <w:rPr>
          <w:rFonts w:ascii="Calibri" w:hAnsi="Calibri" w:cs="Calibri"/>
          <w:sz w:val="22"/>
          <w:szCs w:val="22"/>
        </w:rPr>
        <w:t>﻿</w:t>
      </w:r>
    </w:p>
    <w:p w14:paraId="42E996D7" w14:textId="7C4A8240" w:rsidR="005E2DAB" w:rsidRPr="005E2DAB" w:rsidRDefault="005E2DAB" w:rsidP="00667103">
      <w:pPr>
        <w:spacing w:line="240" w:lineRule="auto"/>
        <w:rPr>
          <w:rFonts w:ascii="Calibri" w:hAnsi="Calibri" w:cs="Calibri"/>
          <w:b/>
          <w:bCs/>
          <w:sz w:val="22"/>
          <w:szCs w:val="22"/>
        </w:rPr>
      </w:pPr>
      <w:r w:rsidRPr="005E2DAB">
        <w:rPr>
          <w:rFonts w:ascii="Calibri" w:hAnsi="Calibri" w:cs="Calibri"/>
          <w:b/>
          <w:bCs/>
          <w:sz w:val="22"/>
          <w:szCs w:val="22"/>
        </w:rPr>
        <w:t>Overview</w:t>
      </w:r>
    </w:p>
    <w:p w14:paraId="7F9BBC58" w14:textId="02356115" w:rsidR="005E2DAB" w:rsidRDefault="008F3D45" w:rsidP="00667103">
      <w:pPr>
        <w:spacing w:line="240" w:lineRule="auto"/>
        <w:rPr>
          <w:rFonts w:ascii="Calibri" w:hAnsi="Calibri" w:cs="Calibri"/>
          <w:sz w:val="22"/>
          <w:szCs w:val="22"/>
        </w:rPr>
      </w:pPr>
      <w:r>
        <w:rPr>
          <w:rFonts w:ascii="Calibri" w:hAnsi="Calibri" w:cs="Calibri"/>
          <w:sz w:val="22"/>
          <w:szCs w:val="22"/>
        </w:rPr>
        <w:t xml:space="preserve">This PhD will identify </w:t>
      </w:r>
      <w:r w:rsidR="00456810">
        <w:rPr>
          <w:rFonts w:ascii="Calibri" w:hAnsi="Calibri" w:cs="Calibri"/>
          <w:sz w:val="22"/>
          <w:szCs w:val="22"/>
        </w:rPr>
        <w:t xml:space="preserve">how new rates and geographies of moving house within countries </w:t>
      </w:r>
      <w:r w:rsidR="00C72BD0">
        <w:rPr>
          <w:rFonts w:ascii="Calibri" w:hAnsi="Calibri" w:cs="Calibri"/>
          <w:sz w:val="22"/>
          <w:szCs w:val="22"/>
        </w:rPr>
        <w:t xml:space="preserve">reflect inequalities </w:t>
      </w:r>
      <w:r w:rsidR="0076540F">
        <w:rPr>
          <w:rFonts w:ascii="Calibri" w:hAnsi="Calibri" w:cs="Calibri"/>
          <w:sz w:val="22"/>
          <w:szCs w:val="22"/>
        </w:rPr>
        <w:t xml:space="preserve">across social groups </w:t>
      </w:r>
      <w:r w:rsidR="00C72BD0">
        <w:rPr>
          <w:rFonts w:ascii="Calibri" w:hAnsi="Calibri" w:cs="Calibri"/>
          <w:sz w:val="22"/>
          <w:szCs w:val="22"/>
        </w:rPr>
        <w:t xml:space="preserve">in </w:t>
      </w:r>
      <w:r w:rsidR="0012520B">
        <w:rPr>
          <w:rFonts w:ascii="Calibri" w:hAnsi="Calibri" w:cs="Calibri"/>
          <w:sz w:val="22"/>
          <w:szCs w:val="22"/>
        </w:rPr>
        <w:t xml:space="preserve">the </w:t>
      </w:r>
      <w:r w:rsidR="00C72BD0">
        <w:rPr>
          <w:rFonts w:ascii="Calibri" w:hAnsi="Calibri" w:cs="Calibri"/>
          <w:sz w:val="22"/>
          <w:szCs w:val="22"/>
        </w:rPr>
        <w:t xml:space="preserve">ability to move residentially </w:t>
      </w:r>
      <w:r w:rsidR="00156B42">
        <w:rPr>
          <w:rFonts w:ascii="Calibri" w:hAnsi="Calibri" w:cs="Calibri"/>
          <w:sz w:val="22"/>
          <w:szCs w:val="22"/>
        </w:rPr>
        <w:t xml:space="preserve">and </w:t>
      </w:r>
      <w:r w:rsidR="0012520B">
        <w:rPr>
          <w:rFonts w:ascii="Calibri" w:hAnsi="Calibri" w:cs="Calibri"/>
          <w:sz w:val="22"/>
          <w:szCs w:val="22"/>
        </w:rPr>
        <w:t xml:space="preserve">how these </w:t>
      </w:r>
      <w:r w:rsidR="003E0F2E">
        <w:rPr>
          <w:rFonts w:ascii="Calibri" w:hAnsi="Calibri" w:cs="Calibri"/>
          <w:sz w:val="22"/>
          <w:szCs w:val="22"/>
        </w:rPr>
        <w:t xml:space="preserve">new forms of socially selective residential mobility </w:t>
      </w:r>
      <w:r w:rsidR="00156B42">
        <w:rPr>
          <w:rFonts w:ascii="Calibri" w:hAnsi="Calibri" w:cs="Calibri"/>
          <w:sz w:val="22"/>
          <w:szCs w:val="22"/>
        </w:rPr>
        <w:t xml:space="preserve">reinforce </w:t>
      </w:r>
      <w:r w:rsidR="0076540F">
        <w:rPr>
          <w:rFonts w:ascii="Calibri" w:hAnsi="Calibri" w:cs="Calibri"/>
          <w:sz w:val="22"/>
          <w:szCs w:val="22"/>
        </w:rPr>
        <w:t xml:space="preserve">socio-economic inequalities between places. </w:t>
      </w:r>
      <w:r w:rsidR="00352793">
        <w:rPr>
          <w:rFonts w:ascii="Calibri" w:hAnsi="Calibri" w:cs="Calibri"/>
          <w:sz w:val="22"/>
          <w:szCs w:val="22"/>
        </w:rPr>
        <w:t xml:space="preserve">Comparative case studies of the UK and China </w:t>
      </w:r>
      <w:r w:rsidR="00351000">
        <w:rPr>
          <w:rFonts w:ascii="Calibri" w:hAnsi="Calibri" w:cs="Calibri"/>
          <w:sz w:val="22"/>
          <w:szCs w:val="22"/>
        </w:rPr>
        <w:t>will allow exploration of varying social and economic context</w:t>
      </w:r>
      <w:r w:rsidR="00B974FE">
        <w:rPr>
          <w:rFonts w:ascii="Calibri" w:hAnsi="Calibri" w:cs="Calibri"/>
          <w:sz w:val="22"/>
          <w:szCs w:val="22"/>
        </w:rPr>
        <w:t>s</w:t>
      </w:r>
      <w:r w:rsidR="00351000">
        <w:rPr>
          <w:rFonts w:ascii="Calibri" w:hAnsi="Calibri" w:cs="Calibri"/>
          <w:sz w:val="22"/>
          <w:szCs w:val="22"/>
        </w:rPr>
        <w:t xml:space="preserve"> to under</w:t>
      </w:r>
      <w:r w:rsidR="00DA409B">
        <w:rPr>
          <w:rFonts w:ascii="Calibri" w:hAnsi="Calibri" w:cs="Calibri"/>
          <w:sz w:val="22"/>
          <w:szCs w:val="22"/>
        </w:rPr>
        <w:t>s</w:t>
      </w:r>
      <w:r w:rsidR="00351000">
        <w:rPr>
          <w:rFonts w:ascii="Calibri" w:hAnsi="Calibri" w:cs="Calibri"/>
          <w:sz w:val="22"/>
          <w:szCs w:val="22"/>
        </w:rPr>
        <w:t xml:space="preserve">tand contemporary population dynamics. </w:t>
      </w:r>
      <w:r w:rsidR="00DA409B">
        <w:rPr>
          <w:rFonts w:ascii="Calibri" w:hAnsi="Calibri" w:cs="Calibri"/>
          <w:sz w:val="22"/>
          <w:szCs w:val="22"/>
        </w:rPr>
        <w:t>The student will be trained in analysis of large population datasets</w:t>
      </w:r>
      <w:r w:rsidR="005220A4">
        <w:rPr>
          <w:rFonts w:ascii="Calibri" w:hAnsi="Calibri" w:cs="Calibri"/>
          <w:sz w:val="22"/>
          <w:szCs w:val="22"/>
        </w:rPr>
        <w:t xml:space="preserve"> and will work in the vibrant research environment of the </w:t>
      </w:r>
      <w:hyperlink r:id="rId6" w:history="1">
        <w:r w:rsidR="005220A4" w:rsidRPr="005034B9">
          <w:rPr>
            <w:rStyle w:val="Hyperlink"/>
            <w:rFonts w:ascii="Calibri" w:hAnsi="Calibri" w:cs="Calibri"/>
            <w:sz w:val="22"/>
            <w:szCs w:val="22"/>
          </w:rPr>
          <w:t>Population and Health Research Group</w:t>
        </w:r>
      </w:hyperlink>
      <w:r w:rsidR="005220A4">
        <w:rPr>
          <w:rFonts w:ascii="Calibri" w:hAnsi="Calibri" w:cs="Calibri"/>
          <w:sz w:val="22"/>
          <w:szCs w:val="22"/>
        </w:rPr>
        <w:t xml:space="preserve"> and </w:t>
      </w:r>
      <w:hyperlink r:id="rId7" w:history="1">
        <w:r w:rsidR="005220A4" w:rsidRPr="005034B9">
          <w:rPr>
            <w:rStyle w:val="Hyperlink"/>
            <w:rFonts w:ascii="Calibri" w:hAnsi="Calibri" w:cs="Calibri"/>
            <w:sz w:val="22"/>
            <w:szCs w:val="22"/>
          </w:rPr>
          <w:t>Centre for Population Change</w:t>
        </w:r>
      </w:hyperlink>
      <w:r w:rsidR="005220A4">
        <w:rPr>
          <w:rFonts w:ascii="Calibri" w:hAnsi="Calibri" w:cs="Calibri"/>
          <w:sz w:val="22"/>
          <w:szCs w:val="22"/>
        </w:rPr>
        <w:t xml:space="preserve">. </w:t>
      </w:r>
      <w:r w:rsidR="00DA409B">
        <w:rPr>
          <w:rFonts w:ascii="Calibri" w:hAnsi="Calibri" w:cs="Calibri"/>
          <w:sz w:val="22"/>
          <w:szCs w:val="22"/>
        </w:rPr>
        <w:t xml:space="preserve"> </w:t>
      </w:r>
    </w:p>
    <w:p w14:paraId="19D09ED3" w14:textId="77777777" w:rsidR="00456810" w:rsidRDefault="00456810" w:rsidP="00667103">
      <w:pPr>
        <w:spacing w:line="240" w:lineRule="auto"/>
        <w:rPr>
          <w:rFonts w:ascii="Calibri" w:hAnsi="Calibri" w:cs="Calibri"/>
          <w:sz w:val="22"/>
          <w:szCs w:val="22"/>
        </w:rPr>
      </w:pPr>
    </w:p>
    <w:p w14:paraId="61C73170" w14:textId="3C077020" w:rsidR="005E2DAB" w:rsidRPr="005E2DAB" w:rsidRDefault="005E2DAB" w:rsidP="00667103">
      <w:pPr>
        <w:spacing w:line="240" w:lineRule="auto"/>
        <w:rPr>
          <w:rFonts w:ascii="Calibri" w:hAnsi="Calibri" w:cs="Calibri"/>
          <w:b/>
          <w:bCs/>
          <w:sz w:val="22"/>
          <w:szCs w:val="22"/>
        </w:rPr>
      </w:pPr>
      <w:r w:rsidRPr="005E2DAB">
        <w:rPr>
          <w:rFonts w:ascii="Calibri" w:hAnsi="Calibri" w:cs="Calibri"/>
          <w:b/>
          <w:bCs/>
          <w:sz w:val="22"/>
          <w:szCs w:val="22"/>
        </w:rPr>
        <w:t>Rationale and Research Questions</w:t>
      </w:r>
    </w:p>
    <w:p w14:paraId="4BD73B7D" w14:textId="634C495A" w:rsidR="00D06303" w:rsidRPr="0002065A" w:rsidRDefault="007C3423" w:rsidP="00667103">
      <w:pPr>
        <w:spacing w:line="240" w:lineRule="auto"/>
        <w:rPr>
          <w:rFonts w:ascii="Calibri" w:hAnsi="Calibri" w:cs="Calibri"/>
          <w:sz w:val="22"/>
          <w:szCs w:val="22"/>
        </w:rPr>
      </w:pPr>
      <w:r w:rsidRPr="0002065A">
        <w:rPr>
          <w:rFonts w:ascii="Calibri" w:hAnsi="Calibri" w:cs="Calibri"/>
          <w:sz w:val="22"/>
          <w:szCs w:val="22"/>
        </w:rPr>
        <w:t>The slowdown in internal migration since the 1980s has been recognised in a number of</w:t>
      </w:r>
      <w:r w:rsidR="00E739A7" w:rsidRPr="0002065A">
        <w:rPr>
          <w:rFonts w:ascii="Calibri" w:hAnsi="Calibri" w:cs="Calibri"/>
          <w:sz w:val="22"/>
          <w:szCs w:val="22"/>
        </w:rPr>
        <w:t xml:space="preserve"> </w:t>
      </w:r>
      <w:r w:rsidRPr="0002065A">
        <w:rPr>
          <w:rFonts w:ascii="Calibri" w:hAnsi="Calibri" w:cs="Calibri"/>
          <w:sz w:val="22"/>
          <w:szCs w:val="22"/>
        </w:rPr>
        <w:t>countries including the USA and England and Wales (e.g. Molloy, Smith &amp; Wozniak, 2011 on</w:t>
      </w:r>
      <w:r w:rsidR="00E739A7" w:rsidRPr="0002065A">
        <w:rPr>
          <w:rFonts w:ascii="Calibri" w:hAnsi="Calibri" w:cs="Calibri"/>
          <w:sz w:val="22"/>
          <w:szCs w:val="22"/>
        </w:rPr>
        <w:t xml:space="preserve"> </w:t>
      </w:r>
      <w:r w:rsidRPr="0002065A">
        <w:rPr>
          <w:rFonts w:ascii="Calibri" w:hAnsi="Calibri" w:cs="Calibri"/>
          <w:sz w:val="22"/>
          <w:szCs w:val="22"/>
        </w:rPr>
        <w:t>USA; Champion et al 2018). In the UK, evidence suggests that it is a reduction in short, local</w:t>
      </w:r>
      <w:r w:rsidR="00653994" w:rsidRPr="0002065A">
        <w:rPr>
          <w:rFonts w:ascii="Calibri" w:hAnsi="Calibri" w:cs="Calibri"/>
          <w:sz w:val="22"/>
          <w:szCs w:val="22"/>
        </w:rPr>
        <w:t xml:space="preserve"> ﻿residential moves that is</w:t>
      </w:r>
      <w:r w:rsidR="00E739A7" w:rsidRPr="0002065A">
        <w:rPr>
          <w:rFonts w:ascii="Calibri" w:hAnsi="Calibri" w:cs="Calibri"/>
          <w:sz w:val="22"/>
          <w:szCs w:val="22"/>
        </w:rPr>
        <w:t xml:space="preserve"> </w:t>
      </w:r>
      <w:r w:rsidR="00653994" w:rsidRPr="0002065A">
        <w:rPr>
          <w:rFonts w:ascii="Calibri" w:hAnsi="Calibri" w:cs="Calibri"/>
          <w:sz w:val="22"/>
          <w:szCs w:val="22"/>
        </w:rPr>
        <w:t>driving the migration slowdown with relative stability over time in</w:t>
      </w:r>
      <w:r w:rsidR="00E739A7" w:rsidRPr="0002065A">
        <w:rPr>
          <w:rFonts w:ascii="Calibri" w:hAnsi="Calibri" w:cs="Calibri"/>
          <w:sz w:val="22"/>
          <w:szCs w:val="22"/>
        </w:rPr>
        <w:t xml:space="preserve"> </w:t>
      </w:r>
      <w:r w:rsidR="00653994" w:rsidRPr="0002065A">
        <w:rPr>
          <w:rFonts w:ascii="Calibri" w:hAnsi="Calibri" w:cs="Calibri"/>
          <w:sz w:val="22"/>
          <w:szCs w:val="22"/>
        </w:rPr>
        <w:t>inter-regional migration (Champion &amp; Shuttleworth, 2017).</w:t>
      </w:r>
      <w:r w:rsidR="00E739A7" w:rsidRPr="0002065A">
        <w:rPr>
          <w:rFonts w:ascii="Calibri" w:hAnsi="Calibri" w:cs="Calibri"/>
          <w:sz w:val="22"/>
          <w:szCs w:val="22"/>
        </w:rPr>
        <w:t xml:space="preserve"> </w:t>
      </w:r>
      <w:r w:rsidR="00653994" w:rsidRPr="0002065A">
        <w:rPr>
          <w:rFonts w:ascii="Calibri" w:hAnsi="Calibri" w:cs="Calibri"/>
          <w:sz w:val="22"/>
          <w:szCs w:val="22"/>
        </w:rPr>
        <w:t>﻿This decline in mobility is not unique to the West but reflects a broader global trend with</w:t>
      </w:r>
      <w:r w:rsidR="00CE2A3B" w:rsidRPr="0002065A">
        <w:rPr>
          <w:rFonts w:ascii="Calibri" w:hAnsi="Calibri" w:cs="Calibri"/>
          <w:sz w:val="22"/>
          <w:szCs w:val="22"/>
        </w:rPr>
        <w:t xml:space="preserve"> </w:t>
      </w:r>
      <w:r w:rsidR="00653994" w:rsidRPr="0002065A">
        <w:rPr>
          <w:rFonts w:ascii="Calibri" w:hAnsi="Calibri" w:cs="Calibri"/>
          <w:sz w:val="22"/>
          <w:szCs w:val="22"/>
        </w:rPr>
        <w:t>varying dynamics. For example, China, long characterized as a hyper-mobile country since its</w:t>
      </w:r>
      <w:r w:rsidR="00050707" w:rsidRPr="0002065A">
        <w:rPr>
          <w:rFonts w:ascii="Calibri" w:hAnsi="Calibri" w:cs="Calibri"/>
          <w:sz w:val="22"/>
          <w:szCs w:val="22"/>
        </w:rPr>
        <w:t xml:space="preserve"> </w:t>
      </w:r>
      <w:r w:rsidR="00653994" w:rsidRPr="0002065A">
        <w:rPr>
          <w:rFonts w:ascii="Calibri" w:hAnsi="Calibri" w:cs="Calibri"/>
          <w:sz w:val="22"/>
          <w:szCs w:val="22"/>
        </w:rPr>
        <w:t>economic reforms in the 1980s, exhibits similar trends. Despite its large number of migrants,</w:t>
      </w:r>
      <w:r w:rsidR="00050707" w:rsidRPr="0002065A">
        <w:rPr>
          <w:rFonts w:ascii="Calibri" w:hAnsi="Calibri" w:cs="Calibri"/>
          <w:sz w:val="22"/>
          <w:szCs w:val="22"/>
        </w:rPr>
        <w:t xml:space="preserve"> </w:t>
      </w:r>
      <w:r w:rsidR="00653994" w:rsidRPr="0002065A">
        <w:rPr>
          <w:rFonts w:ascii="Calibri" w:hAnsi="Calibri" w:cs="Calibri"/>
          <w:sz w:val="22"/>
          <w:szCs w:val="22"/>
        </w:rPr>
        <w:t>China is experiencing new forces deterring mobility, such as high housing prices in big cities (Mu,</w:t>
      </w:r>
      <w:r w:rsidR="00050707" w:rsidRPr="0002065A">
        <w:rPr>
          <w:rFonts w:ascii="Calibri" w:hAnsi="Calibri" w:cs="Calibri"/>
          <w:sz w:val="22"/>
          <w:szCs w:val="22"/>
        </w:rPr>
        <w:t xml:space="preserve"> </w:t>
      </w:r>
      <w:r w:rsidR="00653994" w:rsidRPr="0002065A">
        <w:rPr>
          <w:rFonts w:ascii="Calibri" w:hAnsi="Calibri" w:cs="Calibri"/>
          <w:sz w:val="22"/>
          <w:szCs w:val="22"/>
        </w:rPr>
        <w:t>Cui &amp; Cui, 2021), a pursuit of improved quality of life, and population ag</w:t>
      </w:r>
      <w:r w:rsidR="006669FA">
        <w:rPr>
          <w:rFonts w:ascii="Calibri" w:hAnsi="Calibri" w:cs="Calibri"/>
          <w:sz w:val="22"/>
          <w:szCs w:val="22"/>
        </w:rPr>
        <w:t>e</w:t>
      </w:r>
      <w:r w:rsidR="00653994" w:rsidRPr="0002065A">
        <w:rPr>
          <w:rFonts w:ascii="Calibri" w:hAnsi="Calibri" w:cs="Calibri"/>
          <w:sz w:val="22"/>
          <w:szCs w:val="22"/>
        </w:rPr>
        <w:t>ing and more</w:t>
      </w:r>
      <w:r w:rsidR="00050707" w:rsidRPr="0002065A">
        <w:rPr>
          <w:rFonts w:ascii="Calibri" w:hAnsi="Calibri" w:cs="Calibri"/>
          <w:sz w:val="22"/>
          <w:szCs w:val="22"/>
        </w:rPr>
        <w:t xml:space="preserve"> </w:t>
      </w:r>
      <w:r w:rsidR="00653994" w:rsidRPr="0002065A">
        <w:rPr>
          <w:rFonts w:ascii="Calibri" w:hAnsi="Calibri" w:cs="Calibri"/>
          <w:sz w:val="22"/>
          <w:szCs w:val="22"/>
        </w:rPr>
        <w:t>coordinated regional development strategies (Shi, Liu &amp; Feng, 2024)</w:t>
      </w:r>
      <w:r w:rsidR="002D06F1" w:rsidRPr="0002065A">
        <w:rPr>
          <w:rFonts w:ascii="Calibri" w:hAnsi="Calibri" w:cs="Calibri"/>
          <w:sz w:val="22"/>
          <w:szCs w:val="22"/>
        </w:rPr>
        <w:t xml:space="preserve">. </w:t>
      </w:r>
    </w:p>
    <w:p w14:paraId="4D0FD043" w14:textId="0126664B" w:rsidR="00102DCF" w:rsidRPr="0002065A" w:rsidRDefault="003D2046" w:rsidP="00667103">
      <w:pPr>
        <w:spacing w:line="240" w:lineRule="auto"/>
        <w:rPr>
          <w:rFonts w:ascii="Calibri" w:hAnsi="Calibri" w:cs="Calibri"/>
          <w:sz w:val="22"/>
          <w:szCs w:val="22"/>
        </w:rPr>
      </w:pPr>
      <w:r w:rsidRPr="0002065A">
        <w:rPr>
          <w:rFonts w:ascii="Calibri" w:hAnsi="Calibri" w:cs="Calibri"/>
          <w:sz w:val="22"/>
          <w:szCs w:val="22"/>
        </w:rPr>
        <w:t>In a context of housing price inflation and increasing homeownership</w:t>
      </w:r>
      <w:r w:rsidR="004A3FD3" w:rsidRPr="0002065A">
        <w:rPr>
          <w:rFonts w:ascii="Calibri" w:hAnsi="Calibri" w:cs="Calibri"/>
          <w:sz w:val="22"/>
          <w:szCs w:val="22"/>
        </w:rPr>
        <w:t xml:space="preserve"> </w:t>
      </w:r>
      <w:r w:rsidRPr="0002065A">
        <w:rPr>
          <w:rFonts w:ascii="Calibri" w:hAnsi="Calibri" w:cs="Calibri"/>
          <w:sz w:val="22"/>
          <w:szCs w:val="22"/>
        </w:rPr>
        <w:t>inaccessibility (Arundel &amp; Ronald, 2021)</w:t>
      </w:r>
      <w:r w:rsidR="00C14C9E">
        <w:rPr>
          <w:rFonts w:ascii="Calibri" w:hAnsi="Calibri" w:cs="Calibri" w:hint="eastAsia"/>
          <w:sz w:val="22"/>
          <w:szCs w:val="22"/>
        </w:rPr>
        <w:t>,</w:t>
      </w:r>
      <w:r w:rsidRPr="0002065A">
        <w:rPr>
          <w:rFonts w:ascii="Calibri" w:hAnsi="Calibri" w:cs="Calibri"/>
          <w:sz w:val="22"/>
          <w:szCs w:val="22"/>
        </w:rPr>
        <w:t xml:space="preserve"> this migration slowdown can diminish economic vitality</w:t>
      </w:r>
      <w:r w:rsidR="004A3FD3" w:rsidRPr="0002065A">
        <w:rPr>
          <w:rFonts w:ascii="Calibri" w:hAnsi="Calibri" w:cs="Calibri"/>
          <w:sz w:val="22"/>
          <w:szCs w:val="22"/>
        </w:rPr>
        <w:t xml:space="preserve"> </w:t>
      </w:r>
      <w:r w:rsidRPr="0002065A">
        <w:rPr>
          <w:rFonts w:ascii="Calibri" w:hAnsi="Calibri" w:cs="Calibri"/>
          <w:sz w:val="22"/>
          <w:szCs w:val="22"/>
        </w:rPr>
        <w:t>and housing market dynamics while fostering stagnation and undermining individual and</w:t>
      </w:r>
      <w:r w:rsidR="004A3FD3" w:rsidRPr="0002065A">
        <w:rPr>
          <w:rFonts w:ascii="Calibri" w:hAnsi="Calibri" w:cs="Calibri"/>
          <w:sz w:val="22"/>
          <w:szCs w:val="22"/>
        </w:rPr>
        <w:t xml:space="preserve"> </w:t>
      </w:r>
      <w:r w:rsidRPr="0002065A">
        <w:rPr>
          <w:rFonts w:ascii="Calibri" w:hAnsi="Calibri" w:cs="Calibri"/>
          <w:sz w:val="22"/>
          <w:szCs w:val="22"/>
        </w:rPr>
        <w:t xml:space="preserve">community wellbeing (Cooke, 2013; Frey, 2009). Crucially, </w:t>
      </w:r>
      <w:r w:rsidR="00E54775" w:rsidRPr="0002065A">
        <w:rPr>
          <w:rFonts w:ascii="Calibri" w:hAnsi="Calibri" w:cs="Calibri"/>
          <w:sz w:val="22"/>
          <w:szCs w:val="22"/>
        </w:rPr>
        <w:t>it is likely that this reduction</w:t>
      </w:r>
      <w:r w:rsidR="00C14C9E">
        <w:rPr>
          <w:rFonts w:ascii="Calibri" w:hAnsi="Calibri" w:cs="Calibri" w:hint="eastAsia"/>
          <w:sz w:val="22"/>
          <w:szCs w:val="22"/>
        </w:rPr>
        <w:t xml:space="preserve"> in residential mobility</w:t>
      </w:r>
      <w:r w:rsidR="00E54775" w:rsidRPr="0002065A">
        <w:rPr>
          <w:rFonts w:ascii="Calibri" w:hAnsi="Calibri" w:cs="Calibri"/>
          <w:sz w:val="22"/>
          <w:szCs w:val="22"/>
        </w:rPr>
        <w:t xml:space="preserve"> is not experienced evenly across places and populations, reinforcing social and spatial inequalities</w:t>
      </w:r>
      <w:r w:rsidRPr="0002065A">
        <w:rPr>
          <w:rFonts w:ascii="Calibri" w:hAnsi="Calibri" w:cs="Calibri"/>
          <w:sz w:val="22"/>
          <w:szCs w:val="22"/>
        </w:rPr>
        <w:t>. However, updated and systematic research remains</w:t>
      </w:r>
      <w:r w:rsidR="004A3FD3" w:rsidRPr="0002065A">
        <w:rPr>
          <w:rFonts w:ascii="Calibri" w:hAnsi="Calibri" w:cs="Calibri"/>
          <w:sz w:val="22"/>
          <w:szCs w:val="22"/>
        </w:rPr>
        <w:t xml:space="preserve"> </w:t>
      </w:r>
      <w:r w:rsidRPr="0002065A">
        <w:rPr>
          <w:rFonts w:ascii="Calibri" w:hAnsi="Calibri" w:cs="Calibri"/>
          <w:sz w:val="22"/>
          <w:szCs w:val="22"/>
        </w:rPr>
        <w:t>to be conducted on the changing patterns, drivers and consequences</w:t>
      </w:r>
      <w:r w:rsidR="006669FA">
        <w:rPr>
          <w:rFonts w:ascii="Calibri" w:hAnsi="Calibri" w:cs="Calibri"/>
          <w:sz w:val="22"/>
          <w:szCs w:val="22"/>
        </w:rPr>
        <w:t xml:space="preserve"> of new trends in </w:t>
      </w:r>
      <w:r w:rsidR="003010F3">
        <w:rPr>
          <w:rFonts w:ascii="Calibri" w:hAnsi="Calibri" w:cs="Calibri"/>
          <w:sz w:val="22"/>
          <w:szCs w:val="22"/>
        </w:rPr>
        <w:t>migration within countries</w:t>
      </w:r>
      <w:r w:rsidRPr="0002065A">
        <w:rPr>
          <w:rFonts w:ascii="Calibri" w:hAnsi="Calibri" w:cs="Calibri"/>
          <w:sz w:val="22"/>
          <w:szCs w:val="22"/>
        </w:rPr>
        <w:t>.</w:t>
      </w:r>
      <w:r w:rsidR="004A3FD3" w:rsidRPr="0002065A">
        <w:rPr>
          <w:rFonts w:ascii="Calibri" w:hAnsi="Calibri" w:cs="Calibri"/>
          <w:sz w:val="22"/>
          <w:szCs w:val="22"/>
        </w:rPr>
        <w:t xml:space="preserve"> </w:t>
      </w:r>
    </w:p>
    <w:p w14:paraId="3581C288" w14:textId="4E631A0C" w:rsidR="00102DCF" w:rsidRPr="0002065A" w:rsidRDefault="00102DCF" w:rsidP="00667103">
      <w:pPr>
        <w:spacing w:line="240" w:lineRule="auto"/>
        <w:rPr>
          <w:rFonts w:ascii="Calibri" w:hAnsi="Calibri" w:cs="Calibri"/>
          <w:sz w:val="22"/>
          <w:szCs w:val="22"/>
        </w:rPr>
      </w:pPr>
      <w:r w:rsidRPr="0002065A">
        <w:rPr>
          <w:rFonts w:ascii="Calibri" w:hAnsi="Calibri" w:cs="Calibri"/>
          <w:sz w:val="22"/>
          <w:szCs w:val="22"/>
        </w:rPr>
        <w:t>﻿</w:t>
      </w:r>
      <w:r w:rsidR="000A450A" w:rsidRPr="0002065A">
        <w:rPr>
          <w:rFonts w:ascii="Calibri" w:hAnsi="Calibri" w:cs="Calibri"/>
          <w:sz w:val="22"/>
          <w:szCs w:val="22"/>
        </w:rPr>
        <w:t>Against th</w:t>
      </w:r>
      <w:r w:rsidR="00525EE2" w:rsidRPr="0002065A">
        <w:rPr>
          <w:rFonts w:ascii="Calibri" w:hAnsi="Calibri" w:cs="Calibri"/>
          <w:sz w:val="22"/>
          <w:szCs w:val="22"/>
        </w:rPr>
        <w:t xml:space="preserve">is </w:t>
      </w:r>
      <w:r w:rsidR="000A450A" w:rsidRPr="0002065A">
        <w:rPr>
          <w:rFonts w:ascii="Calibri" w:hAnsi="Calibri" w:cs="Calibri"/>
          <w:sz w:val="22"/>
          <w:szCs w:val="22"/>
        </w:rPr>
        <w:t xml:space="preserve">background, </w:t>
      </w:r>
      <w:r w:rsidR="006932D7" w:rsidRPr="0002065A">
        <w:rPr>
          <w:rFonts w:ascii="Calibri" w:hAnsi="Calibri" w:cs="Calibri"/>
          <w:sz w:val="22"/>
          <w:szCs w:val="22"/>
        </w:rPr>
        <w:t>t</w:t>
      </w:r>
      <w:r w:rsidRPr="0002065A">
        <w:rPr>
          <w:rFonts w:ascii="Calibri" w:hAnsi="Calibri" w:cs="Calibri"/>
          <w:sz w:val="22"/>
          <w:szCs w:val="22"/>
        </w:rPr>
        <w:t>his project</w:t>
      </w:r>
      <w:r w:rsidR="00763BE7" w:rsidRPr="0002065A">
        <w:rPr>
          <w:rFonts w:ascii="Calibri" w:hAnsi="Calibri" w:cs="Calibri"/>
          <w:sz w:val="22"/>
          <w:szCs w:val="22"/>
        </w:rPr>
        <w:t xml:space="preserve"> </w:t>
      </w:r>
      <w:r w:rsidR="00CE765F" w:rsidRPr="0002065A">
        <w:rPr>
          <w:rFonts w:ascii="Calibri" w:hAnsi="Calibri" w:cs="Calibri"/>
          <w:sz w:val="22"/>
          <w:szCs w:val="22"/>
        </w:rPr>
        <w:t>incorporates</w:t>
      </w:r>
      <w:r w:rsidR="00763BE7" w:rsidRPr="0002065A">
        <w:rPr>
          <w:rFonts w:ascii="Calibri" w:hAnsi="Calibri" w:cs="Calibri"/>
          <w:sz w:val="22"/>
          <w:szCs w:val="22"/>
        </w:rPr>
        <w:t xml:space="preserve"> a complementary case study approach and </w:t>
      </w:r>
      <w:r w:rsidR="00E412EA" w:rsidRPr="0002065A">
        <w:rPr>
          <w:rFonts w:ascii="Calibri" w:hAnsi="Calibri" w:cs="Calibri"/>
          <w:sz w:val="22"/>
          <w:szCs w:val="22"/>
        </w:rPr>
        <w:t>interrogate</w:t>
      </w:r>
      <w:r w:rsidR="003E45ED" w:rsidRPr="0002065A">
        <w:rPr>
          <w:rFonts w:ascii="Calibri" w:hAnsi="Calibri" w:cs="Calibri"/>
          <w:sz w:val="22"/>
          <w:szCs w:val="22"/>
        </w:rPr>
        <w:t>s</w:t>
      </w:r>
      <w:r w:rsidR="00B02758" w:rsidRPr="0002065A">
        <w:rPr>
          <w:rFonts w:ascii="Calibri" w:hAnsi="Calibri" w:cs="Calibri"/>
          <w:sz w:val="22"/>
          <w:szCs w:val="22"/>
        </w:rPr>
        <w:t xml:space="preserve"> </w:t>
      </w:r>
      <w:r w:rsidRPr="0002065A">
        <w:rPr>
          <w:rFonts w:ascii="Calibri" w:hAnsi="Calibri" w:cs="Calibri"/>
          <w:sz w:val="22"/>
          <w:szCs w:val="22"/>
        </w:rPr>
        <w:t>whether residential mobility is continuing to slow down, the reasons</w:t>
      </w:r>
      <w:r w:rsidR="00E54775" w:rsidRPr="0002065A">
        <w:rPr>
          <w:rFonts w:ascii="Calibri" w:hAnsi="Calibri" w:cs="Calibri"/>
          <w:sz w:val="22"/>
          <w:szCs w:val="22"/>
        </w:rPr>
        <w:t xml:space="preserve"> </w:t>
      </w:r>
      <w:r w:rsidRPr="0002065A">
        <w:rPr>
          <w:rFonts w:ascii="Calibri" w:hAnsi="Calibri" w:cs="Calibri"/>
          <w:sz w:val="22"/>
          <w:szCs w:val="22"/>
        </w:rPr>
        <w:t>for this, and consequences of it.</w:t>
      </w:r>
      <w:r w:rsidR="00E54775" w:rsidRPr="0002065A">
        <w:rPr>
          <w:rFonts w:ascii="Calibri" w:hAnsi="Calibri" w:cs="Calibri"/>
          <w:sz w:val="22"/>
          <w:szCs w:val="22"/>
        </w:rPr>
        <w:t xml:space="preserve"> </w:t>
      </w:r>
      <w:r w:rsidR="002C1FFE" w:rsidRPr="0002065A">
        <w:rPr>
          <w:rFonts w:ascii="Calibri" w:hAnsi="Calibri" w:cs="Calibri"/>
          <w:sz w:val="22"/>
          <w:szCs w:val="22"/>
        </w:rPr>
        <w:t>T</w:t>
      </w:r>
      <w:r w:rsidR="00E54775" w:rsidRPr="0002065A">
        <w:rPr>
          <w:rFonts w:ascii="Calibri" w:hAnsi="Calibri" w:cs="Calibri"/>
          <w:sz w:val="22"/>
          <w:szCs w:val="22"/>
        </w:rPr>
        <w:t>he following questions are asked:</w:t>
      </w:r>
    </w:p>
    <w:p w14:paraId="3CE0611D" w14:textId="4CD9CA6E" w:rsidR="00363FCD" w:rsidRPr="0002065A" w:rsidRDefault="00363FCD" w:rsidP="00667103">
      <w:pPr>
        <w:spacing w:line="240" w:lineRule="auto"/>
        <w:ind w:left="720"/>
        <w:rPr>
          <w:rFonts w:ascii="Calibri" w:hAnsi="Calibri" w:cs="Calibri"/>
          <w:sz w:val="22"/>
          <w:szCs w:val="22"/>
        </w:rPr>
      </w:pPr>
      <w:r w:rsidRPr="0002065A">
        <w:rPr>
          <w:rFonts w:ascii="Calibri" w:hAnsi="Calibri" w:cs="Calibri"/>
          <w:sz w:val="22"/>
          <w:szCs w:val="22"/>
        </w:rPr>
        <w:t>﻿</w:t>
      </w:r>
      <w:r w:rsidRPr="0002065A">
        <w:rPr>
          <w:rFonts w:ascii="Segoe UI Symbol" w:hAnsi="Segoe UI Symbol" w:cs="Segoe UI Symbol"/>
          <w:sz w:val="22"/>
          <w:szCs w:val="22"/>
        </w:rPr>
        <w:t>➢</w:t>
      </w:r>
      <w:r w:rsidRPr="0002065A">
        <w:rPr>
          <w:rFonts w:ascii="Calibri" w:hAnsi="Calibri" w:cs="Calibri"/>
          <w:sz w:val="22"/>
          <w:szCs w:val="22"/>
        </w:rPr>
        <w:t xml:space="preserve"> RQ1 - TRENDS: Do trends in residential mobility demonstrate a slowdown as for past</w:t>
      </w:r>
      <w:r w:rsidR="006369A4" w:rsidRPr="0002065A">
        <w:rPr>
          <w:rFonts w:ascii="Calibri" w:hAnsi="Calibri" w:cs="Calibri"/>
          <w:sz w:val="22"/>
          <w:szCs w:val="22"/>
        </w:rPr>
        <w:t xml:space="preserve"> </w:t>
      </w:r>
      <w:r w:rsidRPr="0002065A">
        <w:rPr>
          <w:rFonts w:ascii="Calibri" w:hAnsi="Calibri" w:cs="Calibri"/>
          <w:sz w:val="22"/>
          <w:szCs w:val="22"/>
        </w:rPr>
        <w:t>decades? How does this vary across population groups and places ((re)producing social</w:t>
      </w:r>
      <w:r w:rsidR="006369A4" w:rsidRPr="0002065A">
        <w:rPr>
          <w:rFonts w:ascii="Calibri" w:hAnsi="Calibri" w:cs="Calibri"/>
          <w:sz w:val="22"/>
          <w:szCs w:val="22"/>
        </w:rPr>
        <w:t xml:space="preserve"> </w:t>
      </w:r>
      <w:r w:rsidRPr="0002065A">
        <w:rPr>
          <w:rFonts w:ascii="Calibri" w:hAnsi="Calibri" w:cs="Calibri"/>
          <w:sz w:val="22"/>
          <w:szCs w:val="22"/>
        </w:rPr>
        <w:t>inequalities)? How do these (variegated) trends differ in the UK and China?</w:t>
      </w:r>
    </w:p>
    <w:p w14:paraId="0A784491" w14:textId="57A83D67" w:rsidR="00363FCD" w:rsidRPr="0002065A" w:rsidRDefault="00363FCD" w:rsidP="00667103">
      <w:pPr>
        <w:spacing w:line="240" w:lineRule="auto"/>
        <w:ind w:left="720"/>
        <w:rPr>
          <w:rFonts w:ascii="Calibri" w:hAnsi="Calibri" w:cs="Calibri"/>
          <w:sz w:val="22"/>
          <w:szCs w:val="22"/>
        </w:rPr>
      </w:pPr>
      <w:r w:rsidRPr="0002065A">
        <w:rPr>
          <w:rFonts w:ascii="Segoe UI Symbol" w:hAnsi="Segoe UI Symbol" w:cs="Segoe UI Symbol"/>
          <w:sz w:val="22"/>
          <w:szCs w:val="22"/>
        </w:rPr>
        <w:t>➢</w:t>
      </w:r>
      <w:r w:rsidRPr="0002065A">
        <w:rPr>
          <w:rFonts w:ascii="Calibri" w:hAnsi="Calibri" w:cs="Calibri"/>
          <w:sz w:val="22"/>
          <w:szCs w:val="22"/>
        </w:rPr>
        <w:t xml:space="preserve"> RQ2 - DRIVERS: How are individual/family level and structural factors associated with</w:t>
      </w:r>
      <w:r w:rsidR="00D13A69" w:rsidRPr="0002065A">
        <w:rPr>
          <w:rFonts w:ascii="Calibri" w:hAnsi="Calibri" w:cs="Calibri"/>
          <w:sz w:val="22"/>
          <w:szCs w:val="22"/>
        </w:rPr>
        <w:t xml:space="preserve"> </w:t>
      </w:r>
      <w:r w:rsidRPr="0002065A">
        <w:rPr>
          <w:rFonts w:ascii="Calibri" w:hAnsi="Calibri" w:cs="Calibri"/>
          <w:sz w:val="22"/>
          <w:szCs w:val="22"/>
        </w:rPr>
        <w:t>residential mobility trends in the UK and China? How does this reflect (and reinforce)</w:t>
      </w:r>
      <w:r w:rsidR="00D13A69" w:rsidRPr="0002065A">
        <w:rPr>
          <w:rFonts w:ascii="Calibri" w:hAnsi="Calibri" w:cs="Calibri"/>
          <w:sz w:val="22"/>
          <w:szCs w:val="22"/>
        </w:rPr>
        <w:t xml:space="preserve"> </w:t>
      </w:r>
      <w:r w:rsidRPr="0002065A">
        <w:rPr>
          <w:rFonts w:ascii="Calibri" w:hAnsi="Calibri" w:cs="Calibri"/>
          <w:sz w:val="22"/>
          <w:szCs w:val="22"/>
        </w:rPr>
        <w:t>social inequalities?</w:t>
      </w:r>
    </w:p>
    <w:p w14:paraId="54A91FE3" w14:textId="3C6640F0" w:rsidR="00363FCD" w:rsidRPr="0002065A" w:rsidRDefault="00363FCD" w:rsidP="00667103">
      <w:pPr>
        <w:spacing w:line="240" w:lineRule="auto"/>
        <w:ind w:left="720"/>
        <w:rPr>
          <w:rFonts w:ascii="Calibri" w:hAnsi="Calibri" w:cs="Calibri"/>
          <w:sz w:val="22"/>
          <w:szCs w:val="22"/>
        </w:rPr>
      </w:pPr>
      <w:r w:rsidRPr="0002065A">
        <w:rPr>
          <w:rFonts w:ascii="Segoe UI Symbol" w:hAnsi="Segoe UI Symbol" w:cs="Segoe UI Symbol"/>
          <w:sz w:val="22"/>
          <w:szCs w:val="22"/>
        </w:rPr>
        <w:t>➢</w:t>
      </w:r>
      <w:r w:rsidRPr="0002065A">
        <w:rPr>
          <w:rFonts w:ascii="Calibri" w:hAnsi="Calibri" w:cs="Calibri"/>
          <w:sz w:val="22"/>
          <w:szCs w:val="22"/>
        </w:rPr>
        <w:t xml:space="preserve"> RQ3 – CONSEQUENCES: What population groups and places gain and lose from the (new)</w:t>
      </w:r>
      <w:r w:rsidR="00D13A69" w:rsidRPr="0002065A">
        <w:rPr>
          <w:rFonts w:ascii="Calibri" w:hAnsi="Calibri" w:cs="Calibri"/>
          <w:sz w:val="22"/>
          <w:szCs w:val="22"/>
        </w:rPr>
        <w:t xml:space="preserve"> </w:t>
      </w:r>
      <w:r w:rsidRPr="0002065A">
        <w:rPr>
          <w:rFonts w:ascii="Calibri" w:hAnsi="Calibri" w:cs="Calibri"/>
          <w:sz w:val="22"/>
          <w:szCs w:val="22"/>
        </w:rPr>
        <w:t>patterns of residential mobility in both contexts?</w:t>
      </w:r>
    </w:p>
    <w:p w14:paraId="1FC9576D" w14:textId="62416345" w:rsidR="00363FCD" w:rsidRPr="0002065A" w:rsidRDefault="00363FCD" w:rsidP="00667103">
      <w:pPr>
        <w:spacing w:line="240" w:lineRule="auto"/>
        <w:ind w:left="720"/>
        <w:rPr>
          <w:rFonts w:ascii="Calibri" w:hAnsi="Calibri" w:cs="Calibri"/>
          <w:sz w:val="22"/>
          <w:szCs w:val="22"/>
        </w:rPr>
      </w:pPr>
      <w:r w:rsidRPr="0002065A">
        <w:rPr>
          <w:rFonts w:ascii="Segoe UI Symbol" w:hAnsi="Segoe UI Symbol" w:cs="Segoe UI Symbol"/>
          <w:sz w:val="22"/>
          <w:szCs w:val="22"/>
        </w:rPr>
        <w:t>➢</w:t>
      </w:r>
      <w:r w:rsidRPr="0002065A">
        <w:rPr>
          <w:rFonts w:ascii="Calibri" w:hAnsi="Calibri" w:cs="Calibri"/>
          <w:sz w:val="22"/>
          <w:szCs w:val="22"/>
        </w:rPr>
        <w:t xml:space="preserve"> RQ4 – RETHEORISATION: Drawing on complimentary case studies, how might theories of</w:t>
      </w:r>
      <w:r w:rsidR="00D13A69" w:rsidRPr="0002065A">
        <w:rPr>
          <w:rFonts w:ascii="Calibri" w:hAnsi="Calibri" w:cs="Calibri"/>
          <w:sz w:val="22"/>
          <w:szCs w:val="22"/>
        </w:rPr>
        <w:t xml:space="preserve"> </w:t>
      </w:r>
      <w:r w:rsidRPr="0002065A">
        <w:rPr>
          <w:rFonts w:ascii="Calibri" w:hAnsi="Calibri" w:cs="Calibri"/>
          <w:sz w:val="22"/>
          <w:szCs w:val="22"/>
        </w:rPr>
        <w:t>internal migration be revised through an inequalities and international lens?</w:t>
      </w:r>
    </w:p>
    <w:p w14:paraId="49D2DA99" w14:textId="6471ED07" w:rsidR="00D24CAF" w:rsidRPr="0002065A" w:rsidRDefault="001A029E" w:rsidP="00D24CAF">
      <w:pPr>
        <w:spacing w:line="240" w:lineRule="auto"/>
        <w:rPr>
          <w:rFonts w:ascii="Calibri" w:hAnsi="Calibri" w:cs="Calibri"/>
          <w:sz w:val="22"/>
          <w:szCs w:val="22"/>
        </w:rPr>
      </w:pPr>
      <w:r w:rsidRPr="0002065A">
        <w:rPr>
          <w:rFonts w:ascii="Calibri" w:hAnsi="Calibri" w:cs="Calibri"/>
          <w:sz w:val="22"/>
          <w:szCs w:val="22"/>
        </w:rPr>
        <w:lastRenderedPageBreak/>
        <w:t>The two case study</w:t>
      </w:r>
      <w:r w:rsidR="00344159" w:rsidRPr="0002065A">
        <w:rPr>
          <w:rFonts w:ascii="Calibri" w:hAnsi="Calibri" w:cs="Calibri"/>
          <w:sz w:val="22"/>
          <w:szCs w:val="22"/>
        </w:rPr>
        <w:t xml:space="preserve"> places</w:t>
      </w:r>
      <w:r w:rsidR="00331A1D" w:rsidRPr="0002065A">
        <w:rPr>
          <w:rFonts w:ascii="Calibri" w:hAnsi="Calibri" w:cs="Calibri"/>
          <w:sz w:val="22"/>
          <w:szCs w:val="22"/>
        </w:rPr>
        <w:t>,</w:t>
      </w:r>
      <w:r w:rsidR="00344159" w:rsidRPr="0002065A">
        <w:rPr>
          <w:rFonts w:ascii="Calibri" w:hAnsi="Calibri" w:cs="Calibri"/>
          <w:sz w:val="22"/>
          <w:szCs w:val="22"/>
        </w:rPr>
        <w:t xml:space="preserve"> </w:t>
      </w:r>
      <w:r w:rsidR="00017E76" w:rsidRPr="0002065A">
        <w:rPr>
          <w:rFonts w:ascii="Calibri" w:hAnsi="Calibri" w:cs="Calibri"/>
          <w:sz w:val="22"/>
          <w:szCs w:val="22"/>
        </w:rPr>
        <w:t>Britain and China</w:t>
      </w:r>
      <w:r w:rsidR="00D25789" w:rsidRPr="0002065A">
        <w:rPr>
          <w:rFonts w:ascii="Calibri" w:hAnsi="Calibri" w:cs="Calibri"/>
          <w:sz w:val="22"/>
          <w:szCs w:val="22"/>
        </w:rPr>
        <w:t xml:space="preserve">, </w:t>
      </w:r>
      <w:r w:rsidR="00A2468B" w:rsidRPr="0002065A">
        <w:rPr>
          <w:rFonts w:ascii="Calibri" w:hAnsi="Calibri" w:cs="Calibri"/>
          <w:sz w:val="22"/>
          <w:szCs w:val="22"/>
        </w:rPr>
        <w:t>contrast i﻿n demographics and urban structure yet both have experienced house price inflation and regional convergence in labour and housing markets</w:t>
      </w:r>
      <w:r w:rsidR="004D46E3" w:rsidRPr="0002065A">
        <w:rPr>
          <w:rFonts w:ascii="Calibri" w:hAnsi="Calibri" w:cs="Calibri"/>
          <w:sz w:val="22"/>
          <w:szCs w:val="22"/>
        </w:rPr>
        <w:t>,</w:t>
      </w:r>
      <w:r w:rsidR="00470B06" w:rsidRPr="0002065A">
        <w:rPr>
          <w:rFonts w:ascii="Calibri" w:hAnsi="Calibri" w:cs="Calibri"/>
          <w:sz w:val="22"/>
          <w:szCs w:val="22"/>
        </w:rPr>
        <w:t xml:space="preserve"> ﻿which have important implications</w:t>
      </w:r>
      <w:r w:rsidR="00ED3391" w:rsidRPr="0002065A">
        <w:rPr>
          <w:rFonts w:ascii="Calibri" w:hAnsi="Calibri" w:cs="Calibri"/>
          <w:sz w:val="22"/>
          <w:szCs w:val="22"/>
        </w:rPr>
        <w:t xml:space="preserve"> </w:t>
      </w:r>
      <w:r w:rsidR="00470B06" w:rsidRPr="0002065A">
        <w:rPr>
          <w:rFonts w:ascii="Calibri" w:hAnsi="Calibri" w:cs="Calibri"/>
          <w:sz w:val="22"/>
          <w:szCs w:val="22"/>
        </w:rPr>
        <w:t>for migration dynamics (Cui et al, 2023; Chen &amp; Wu, 2022; Arundel &amp; Ronald, 2021)</w:t>
      </w:r>
      <w:r w:rsidR="00393B79" w:rsidRPr="0002065A">
        <w:rPr>
          <w:rFonts w:ascii="Calibri" w:hAnsi="Calibri" w:cs="Calibri"/>
          <w:sz w:val="22"/>
          <w:szCs w:val="22"/>
        </w:rPr>
        <w:t xml:space="preserve">. </w:t>
      </w:r>
      <w:r w:rsidR="00BB2243" w:rsidRPr="0002065A">
        <w:rPr>
          <w:rFonts w:ascii="Calibri" w:hAnsi="Calibri" w:cs="Calibri"/>
          <w:sz w:val="22"/>
          <w:szCs w:val="22"/>
        </w:rPr>
        <w:t xml:space="preserve">Such a </w:t>
      </w:r>
      <w:r w:rsidR="00BD08CA" w:rsidRPr="0002065A">
        <w:rPr>
          <w:rFonts w:ascii="Calibri" w:hAnsi="Calibri" w:cs="Calibri"/>
          <w:sz w:val="22"/>
          <w:szCs w:val="22"/>
        </w:rPr>
        <w:t>complementary/comparative approach</w:t>
      </w:r>
      <w:r w:rsidR="001E1930" w:rsidRPr="0002065A">
        <w:rPr>
          <w:rFonts w:ascii="Calibri" w:hAnsi="Calibri" w:cs="Calibri"/>
          <w:sz w:val="22"/>
          <w:szCs w:val="22"/>
        </w:rPr>
        <w:t xml:space="preserve"> will</w:t>
      </w:r>
      <w:r w:rsidR="0051631C" w:rsidRPr="0002065A">
        <w:rPr>
          <w:rFonts w:ascii="Calibri" w:hAnsi="Calibri" w:cs="Calibri"/>
          <w:sz w:val="22"/>
          <w:szCs w:val="22"/>
        </w:rPr>
        <w:t xml:space="preserve"> invite thinking about mobilities through “elsewhere” and globally (Robinson, 2016)</w:t>
      </w:r>
      <w:r w:rsidR="001E2EC6" w:rsidRPr="0002065A">
        <w:rPr>
          <w:rFonts w:ascii="Calibri" w:hAnsi="Calibri" w:cs="Calibri"/>
          <w:sz w:val="22"/>
          <w:szCs w:val="22"/>
        </w:rPr>
        <w:t>,</w:t>
      </w:r>
      <w:r w:rsidR="00265ECB" w:rsidRPr="0002065A">
        <w:rPr>
          <w:rFonts w:ascii="Calibri" w:hAnsi="Calibri" w:cs="Calibri"/>
          <w:sz w:val="22"/>
          <w:szCs w:val="22"/>
        </w:rPr>
        <w:t xml:space="preserve"> ﻿decolonise population geography (Finney et al 2024)</w:t>
      </w:r>
      <w:r w:rsidR="00B54905" w:rsidRPr="0002065A">
        <w:rPr>
          <w:rFonts w:ascii="Calibri" w:hAnsi="Calibri" w:cs="Calibri"/>
          <w:sz w:val="22"/>
          <w:szCs w:val="22"/>
        </w:rPr>
        <w:t xml:space="preserve"> and </w:t>
      </w:r>
      <w:r w:rsidR="00DF3229" w:rsidRPr="0002065A">
        <w:rPr>
          <w:rFonts w:ascii="Calibri" w:hAnsi="Calibri" w:cs="Calibri"/>
          <w:sz w:val="22"/>
          <w:szCs w:val="22"/>
        </w:rPr>
        <w:t>encourag</w:t>
      </w:r>
      <w:r w:rsidR="004C1D80">
        <w:rPr>
          <w:rFonts w:ascii="Calibri" w:hAnsi="Calibri" w:cs="Calibri" w:hint="eastAsia"/>
          <w:sz w:val="22"/>
          <w:szCs w:val="22"/>
        </w:rPr>
        <w:t>e</w:t>
      </w:r>
      <w:r w:rsidR="00147300" w:rsidRPr="0002065A">
        <w:rPr>
          <w:rFonts w:ascii="Calibri" w:hAnsi="Calibri" w:cs="Calibri"/>
          <w:sz w:val="22"/>
          <w:szCs w:val="22"/>
        </w:rPr>
        <w:t xml:space="preserve"> </w:t>
      </w:r>
      <w:r w:rsidR="002D725F" w:rsidRPr="0002065A">
        <w:rPr>
          <w:rFonts w:ascii="Calibri" w:hAnsi="Calibri" w:cs="Calibri"/>
          <w:sz w:val="22"/>
          <w:szCs w:val="22"/>
        </w:rPr>
        <w:t>questions, explanations</w:t>
      </w:r>
      <w:r w:rsidR="00B96AD9" w:rsidRPr="0002065A">
        <w:rPr>
          <w:rFonts w:ascii="Calibri" w:hAnsi="Calibri" w:cs="Calibri"/>
          <w:sz w:val="22"/>
          <w:szCs w:val="22"/>
        </w:rPr>
        <w:t xml:space="preserve"> and discussion about the absence/presence of consequences.</w:t>
      </w:r>
      <w:r w:rsidR="006C4D0F" w:rsidRPr="0002065A">
        <w:rPr>
          <w:rFonts w:ascii="Calibri" w:hAnsi="Calibri" w:cs="Calibri"/>
          <w:sz w:val="22"/>
          <w:szCs w:val="22"/>
        </w:rPr>
        <w:t xml:space="preserve"> </w:t>
      </w:r>
      <w:r w:rsidR="00D51BE4">
        <w:rPr>
          <w:rFonts w:ascii="Calibri" w:hAnsi="Calibri" w:cs="Calibri"/>
          <w:sz w:val="22"/>
          <w:szCs w:val="22"/>
        </w:rPr>
        <w:t>Overall, t</w:t>
      </w:r>
      <w:r w:rsidR="00D24CAF" w:rsidRPr="0002065A">
        <w:rPr>
          <w:rFonts w:ascii="Calibri" w:hAnsi="Calibri" w:cs="Calibri"/>
          <w:sz w:val="22"/>
          <w:szCs w:val="22"/>
        </w:rPr>
        <w:t xml:space="preserve">his project </w:t>
      </w:r>
      <w:r w:rsidR="00D51BE4">
        <w:rPr>
          <w:rFonts w:ascii="Calibri" w:hAnsi="Calibri" w:cs="Calibri"/>
          <w:sz w:val="22"/>
          <w:szCs w:val="22"/>
        </w:rPr>
        <w:t>will</w:t>
      </w:r>
      <w:r w:rsidR="00D24CAF" w:rsidRPr="0002065A">
        <w:rPr>
          <w:rFonts w:ascii="Calibri" w:hAnsi="Calibri" w:cs="Calibri"/>
          <w:sz w:val="22"/>
          <w:szCs w:val="22"/>
        </w:rPr>
        <w:t xml:space="preserve"> critically address and retheorise how internal migration represents and reproduces social and spatial inequalities, providing original contribution to scholarly debate that is pertinent to policy concerns around housing, urban change, social mobility and levelling up.</w:t>
      </w:r>
    </w:p>
    <w:p w14:paraId="4AF8E76B" w14:textId="77777777" w:rsidR="00D24CAF" w:rsidRDefault="00D24CAF" w:rsidP="00A95047">
      <w:pPr>
        <w:spacing w:line="240" w:lineRule="auto"/>
        <w:rPr>
          <w:rFonts w:ascii="Calibri" w:hAnsi="Calibri" w:cs="Calibri"/>
          <w:sz w:val="22"/>
          <w:szCs w:val="22"/>
        </w:rPr>
      </w:pPr>
    </w:p>
    <w:p w14:paraId="01CA95F8" w14:textId="611A9559" w:rsidR="005E2DAB" w:rsidRPr="005E2DAB" w:rsidRDefault="005E2DAB" w:rsidP="00A95047">
      <w:pPr>
        <w:spacing w:line="240" w:lineRule="auto"/>
        <w:rPr>
          <w:rFonts w:ascii="Calibri" w:hAnsi="Calibri" w:cs="Calibri"/>
          <w:b/>
          <w:bCs/>
          <w:sz w:val="22"/>
          <w:szCs w:val="22"/>
        </w:rPr>
      </w:pPr>
      <w:r w:rsidRPr="005E2DAB">
        <w:rPr>
          <w:rFonts w:ascii="Calibri" w:hAnsi="Calibri" w:cs="Calibri"/>
          <w:b/>
          <w:bCs/>
          <w:sz w:val="22"/>
          <w:szCs w:val="22"/>
        </w:rPr>
        <w:t>Data and methods</w:t>
      </w:r>
    </w:p>
    <w:p w14:paraId="0E2D946B" w14:textId="0337CE03" w:rsidR="00DC7074" w:rsidRPr="00F83529" w:rsidRDefault="006C4D0F" w:rsidP="00DC7074">
      <w:pPr>
        <w:spacing w:line="240" w:lineRule="auto"/>
        <w:rPr>
          <w:rFonts w:ascii="Calibri" w:hAnsi="Calibri" w:cs="Calibri"/>
          <w:sz w:val="22"/>
          <w:szCs w:val="22"/>
        </w:rPr>
      </w:pPr>
      <w:r w:rsidRPr="0002065A">
        <w:rPr>
          <w:rFonts w:ascii="Calibri" w:hAnsi="Calibri" w:cs="Calibri"/>
          <w:sz w:val="22"/>
          <w:szCs w:val="22"/>
        </w:rPr>
        <w:t xml:space="preserve">The </w:t>
      </w:r>
      <w:r w:rsidR="004E1A6F" w:rsidRPr="0002065A">
        <w:rPr>
          <w:rFonts w:ascii="Calibri" w:hAnsi="Calibri" w:cs="Calibri"/>
          <w:sz w:val="22"/>
          <w:szCs w:val="22"/>
        </w:rPr>
        <w:t>England and Wales, Scotland (1971-2021/2) and Chinese Census data (2000-2020)</w:t>
      </w:r>
      <w:r w:rsidR="004C1D80">
        <w:rPr>
          <w:rFonts w:ascii="Calibri" w:hAnsi="Calibri" w:cs="Calibri" w:hint="eastAsia"/>
          <w:sz w:val="22"/>
          <w:szCs w:val="22"/>
        </w:rPr>
        <w:t>,</w:t>
      </w:r>
      <w:r w:rsidR="00F11281" w:rsidRPr="0002065A">
        <w:rPr>
          <w:rFonts w:ascii="Calibri" w:hAnsi="Calibri" w:cs="Calibri"/>
          <w:sz w:val="22"/>
          <w:szCs w:val="22"/>
        </w:rPr>
        <w:t xml:space="preserve"> and public national</w:t>
      </w:r>
      <w:r w:rsidR="008A4B12" w:rsidRPr="0002065A">
        <w:rPr>
          <w:rFonts w:ascii="Calibri" w:hAnsi="Calibri" w:cs="Calibri"/>
          <w:sz w:val="22"/>
          <w:szCs w:val="22"/>
        </w:rPr>
        <w:t xml:space="preserve"> surveys including Understanding Society in the UK</w:t>
      </w:r>
      <w:r w:rsidR="004C1D80">
        <w:rPr>
          <w:rFonts w:ascii="Calibri" w:hAnsi="Calibri" w:cs="Calibri" w:hint="eastAsia"/>
          <w:sz w:val="22"/>
          <w:szCs w:val="22"/>
        </w:rPr>
        <w:t xml:space="preserve"> and </w:t>
      </w:r>
      <w:r w:rsidR="008A4B12" w:rsidRPr="0002065A">
        <w:rPr>
          <w:rFonts w:ascii="Calibri" w:hAnsi="Calibri" w:cs="Calibri"/>
          <w:sz w:val="22"/>
          <w:szCs w:val="22"/>
        </w:rPr>
        <w:t>Chinese Family Panel Studies (CFPS)</w:t>
      </w:r>
      <w:r w:rsidR="004C1D80">
        <w:rPr>
          <w:rFonts w:ascii="Calibri" w:hAnsi="Calibri" w:cs="Calibri" w:hint="eastAsia"/>
          <w:sz w:val="22"/>
          <w:szCs w:val="22"/>
        </w:rPr>
        <w:t>,</w:t>
      </w:r>
      <w:r w:rsidR="00BA3F76" w:rsidRPr="0002065A">
        <w:rPr>
          <w:rFonts w:ascii="Calibri" w:hAnsi="Calibri" w:cs="Calibri"/>
          <w:sz w:val="22"/>
          <w:szCs w:val="22"/>
        </w:rPr>
        <w:t xml:space="preserve"> will be used to address the</w:t>
      </w:r>
      <w:r w:rsidR="00F83529">
        <w:rPr>
          <w:rFonts w:ascii="Calibri" w:hAnsi="Calibri" w:cs="Calibri"/>
          <w:sz w:val="22"/>
          <w:szCs w:val="22"/>
        </w:rPr>
        <w:t xml:space="preserve"> research</w:t>
      </w:r>
      <w:r w:rsidR="00BA3F76" w:rsidRPr="0002065A">
        <w:rPr>
          <w:rFonts w:ascii="Calibri" w:hAnsi="Calibri" w:cs="Calibri"/>
          <w:sz w:val="22"/>
          <w:szCs w:val="22"/>
        </w:rPr>
        <w:t xml:space="preserve"> questions.</w:t>
      </w:r>
      <w:r w:rsidR="004C1D80">
        <w:rPr>
          <w:rFonts w:ascii="Calibri" w:hAnsi="Calibri" w:cs="Calibri" w:hint="eastAsia"/>
          <w:sz w:val="22"/>
          <w:szCs w:val="22"/>
        </w:rPr>
        <w:t xml:space="preserve"> </w:t>
      </w:r>
      <w:r w:rsidR="004C1D80" w:rsidRPr="00F83529">
        <w:rPr>
          <w:rFonts w:ascii="Calibri" w:hAnsi="Calibri" w:cs="Calibri" w:hint="eastAsia"/>
          <w:sz w:val="22"/>
          <w:szCs w:val="22"/>
        </w:rPr>
        <w:t>Th</w:t>
      </w:r>
      <w:r w:rsidR="002E7A0F">
        <w:rPr>
          <w:rFonts w:ascii="Calibri" w:hAnsi="Calibri" w:cs="Calibri"/>
          <w:sz w:val="22"/>
          <w:szCs w:val="22"/>
        </w:rPr>
        <w:t>is</w:t>
      </w:r>
      <w:r w:rsidR="004C1D80" w:rsidRPr="00F83529">
        <w:rPr>
          <w:rFonts w:ascii="Calibri" w:hAnsi="Calibri" w:cs="Calibri" w:hint="eastAsia"/>
          <w:sz w:val="22"/>
          <w:szCs w:val="22"/>
        </w:rPr>
        <w:t xml:space="preserve"> PhD </w:t>
      </w:r>
      <w:r w:rsidR="00515A8B" w:rsidRPr="00F83529">
        <w:rPr>
          <w:rFonts w:ascii="Calibri" w:hAnsi="Calibri" w:cs="Calibri"/>
          <w:sz w:val="22"/>
          <w:szCs w:val="22"/>
        </w:rPr>
        <w:t>opportunit</w:t>
      </w:r>
      <w:r w:rsidR="002E7A0F">
        <w:rPr>
          <w:rFonts w:ascii="Calibri" w:hAnsi="Calibri" w:cs="Calibri"/>
          <w:sz w:val="22"/>
          <w:szCs w:val="22"/>
        </w:rPr>
        <w:t>y</w:t>
      </w:r>
      <w:r w:rsidR="00515A8B" w:rsidRPr="00F83529">
        <w:rPr>
          <w:rFonts w:ascii="Calibri" w:hAnsi="Calibri" w:cs="Calibri" w:hint="eastAsia"/>
          <w:sz w:val="22"/>
          <w:szCs w:val="22"/>
        </w:rPr>
        <w:t xml:space="preserve"> will </w:t>
      </w:r>
      <w:r w:rsidR="00F20050" w:rsidRPr="00F83529">
        <w:rPr>
          <w:rFonts w:ascii="Calibri" w:hAnsi="Calibri" w:cs="Calibri" w:hint="eastAsia"/>
          <w:sz w:val="22"/>
          <w:szCs w:val="22"/>
        </w:rPr>
        <w:t xml:space="preserve">provide training in </w:t>
      </w:r>
      <w:r w:rsidR="00DC7074" w:rsidRPr="00F83529">
        <w:rPr>
          <w:rFonts w:ascii="Calibri" w:hAnsi="Calibri" w:cs="Calibri" w:hint="eastAsia"/>
          <w:sz w:val="22"/>
          <w:szCs w:val="22"/>
        </w:rPr>
        <w:t xml:space="preserve">quantitative methods including </w:t>
      </w:r>
      <w:r w:rsidR="0079203A" w:rsidRPr="00F83529">
        <w:rPr>
          <w:rFonts w:ascii="Calibri" w:hAnsi="Calibri" w:cs="Calibri"/>
          <w:sz w:val="22"/>
          <w:szCs w:val="22"/>
        </w:rPr>
        <w:t>﻿Multilevel Longitudinal Structural Equation Model</w:t>
      </w:r>
      <w:r w:rsidR="00317471">
        <w:rPr>
          <w:rFonts w:ascii="Calibri" w:hAnsi="Calibri" w:cs="Calibri"/>
          <w:sz w:val="22"/>
          <w:szCs w:val="22"/>
        </w:rPr>
        <w:t>s</w:t>
      </w:r>
      <w:r w:rsidR="00763EF1" w:rsidRPr="00F83529">
        <w:rPr>
          <w:rFonts w:ascii="Calibri" w:hAnsi="Calibri" w:cs="Calibri" w:hint="eastAsia"/>
          <w:sz w:val="22"/>
          <w:szCs w:val="22"/>
        </w:rPr>
        <w:t xml:space="preserve"> and </w:t>
      </w:r>
      <w:r w:rsidR="007D7364" w:rsidRPr="00F83529">
        <w:rPr>
          <w:rFonts w:ascii="Calibri" w:hAnsi="Calibri" w:cs="Calibri"/>
          <w:sz w:val="22"/>
          <w:szCs w:val="22"/>
        </w:rPr>
        <w:t>﻿Geographically and Temporally Weighted Regression (GTWR) Mode</w:t>
      </w:r>
      <w:r w:rsidR="003053CC" w:rsidRPr="00F83529">
        <w:rPr>
          <w:rFonts w:ascii="Calibri" w:hAnsi="Calibri" w:cs="Calibri" w:hint="eastAsia"/>
          <w:sz w:val="22"/>
          <w:szCs w:val="22"/>
        </w:rPr>
        <w:t>l</w:t>
      </w:r>
      <w:r w:rsidR="00317471">
        <w:rPr>
          <w:rFonts w:ascii="Calibri" w:hAnsi="Calibri" w:cs="Calibri"/>
          <w:sz w:val="22"/>
          <w:szCs w:val="22"/>
        </w:rPr>
        <w:t>s</w:t>
      </w:r>
      <w:r w:rsidR="000C6C36" w:rsidRPr="00F83529">
        <w:rPr>
          <w:rFonts w:ascii="Calibri" w:hAnsi="Calibri" w:cs="Calibri" w:hint="eastAsia"/>
          <w:sz w:val="22"/>
          <w:szCs w:val="22"/>
        </w:rPr>
        <w:t>,</w:t>
      </w:r>
      <w:r w:rsidR="003053CC" w:rsidRPr="00F83529">
        <w:rPr>
          <w:rFonts w:ascii="Calibri" w:hAnsi="Calibri" w:cs="Calibri" w:hint="eastAsia"/>
          <w:sz w:val="22"/>
          <w:szCs w:val="22"/>
        </w:rPr>
        <w:t xml:space="preserve"> using</w:t>
      </w:r>
      <w:r w:rsidR="00F6617E" w:rsidRPr="00F83529">
        <w:rPr>
          <w:rFonts w:ascii="Calibri" w:hAnsi="Calibri" w:cs="Calibri" w:hint="eastAsia"/>
          <w:sz w:val="22"/>
          <w:szCs w:val="22"/>
        </w:rPr>
        <w:t xml:space="preserve"> </w:t>
      </w:r>
      <w:r w:rsidR="003053CC" w:rsidRPr="00F83529">
        <w:rPr>
          <w:rFonts w:ascii="Calibri" w:hAnsi="Calibri" w:cs="Calibri"/>
          <w:sz w:val="22"/>
          <w:szCs w:val="22"/>
        </w:rPr>
        <w:t>﻿complex, large-scale spatial-temporal</w:t>
      </w:r>
      <w:r w:rsidR="003053CC" w:rsidRPr="00F83529">
        <w:rPr>
          <w:rFonts w:ascii="Calibri" w:hAnsi="Calibri" w:cs="Calibri" w:hint="eastAsia"/>
          <w:sz w:val="22"/>
          <w:szCs w:val="22"/>
        </w:rPr>
        <w:t xml:space="preserve"> </w:t>
      </w:r>
      <w:r w:rsidR="003053CC" w:rsidRPr="00F83529">
        <w:rPr>
          <w:rFonts w:ascii="Calibri" w:hAnsi="Calibri" w:cs="Calibri"/>
          <w:sz w:val="22"/>
          <w:szCs w:val="22"/>
        </w:rPr>
        <w:t>population datase</w:t>
      </w:r>
      <w:r w:rsidR="00326F04" w:rsidRPr="00F83529">
        <w:rPr>
          <w:rFonts w:ascii="Calibri" w:hAnsi="Calibri" w:cs="Calibri" w:hint="eastAsia"/>
          <w:sz w:val="22"/>
          <w:szCs w:val="22"/>
        </w:rPr>
        <w:t>t</w:t>
      </w:r>
      <w:r w:rsidR="00317471">
        <w:rPr>
          <w:rFonts w:ascii="Calibri" w:hAnsi="Calibri" w:cs="Calibri"/>
          <w:sz w:val="22"/>
          <w:szCs w:val="22"/>
        </w:rPr>
        <w:t>s</w:t>
      </w:r>
      <w:r w:rsidR="00326F04" w:rsidRPr="00F83529">
        <w:rPr>
          <w:rFonts w:ascii="Calibri" w:hAnsi="Calibri" w:cs="Calibri" w:hint="eastAsia"/>
          <w:sz w:val="22"/>
          <w:szCs w:val="22"/>
        </w:rPr>
        <w:t xml:space="preserve">. </w:t>
      </w:r>
    </w:p>
    <w:p w14:paraId="632BCD66" w14:textId="77777777" w:rsidR="005E2DAB" w:rsidRDefault="005E2DAB" w:rsidP="001B06A8">
      <w:pPr>
        <w:spacing w:line="240" w:lineRule="auto"/>
        <w:rPr>
          <w:rFonts w:ascii="Calibri" w:hAnsi="Calibri" w:cs="Calibri"/>
          <w:sz w:val="22"/>
          <w:szCs w:val="22"/>
        </w:rPr>
      </w:pPr>
    </w:p>
    <w:p w14:paraId="4C552224" w14:textId="6EE4CC13" w:rsidR="005E2DAB" w:rsidRPr="005E2DAB" w:rsidRDefault="005E2DAB" w:rsidP="001B06A8">
      <w:pPr>
        <w:spacing w:line="240" w:lineRule="auto"/>
        <w:rPr>
          <w:rFonts w:ascii="Calibri" w:hAnsi="Calibri" w:cs="Calibri"/>
          <w:b/>
          <w:bCs/>
          <w:sz w:val="22"/>
          <w:szCs w:val="22"/>
        </w:rPr>
      </w:pPr>
      <w:r w:rsidRPr="005E2DAB">
        <w:rPr>
          <w:rFonts w:ascii="Calibri" w:hAnsi="Calibri" w:cs="Calibri"/>
          <w:b/>
          <w:bCs/>
          <w:sz w:val="22"/>
          <w:szCs w:val="22"/>
        </w:rPr>
        <w:t>Training and Support</w:t>
      </w:r>
    </w:p>
    <w:p w14:paraId="787CF33F" w14:textId="7025CF0E" w:rsidR="005E2DAB" w:rsidRDefault="00207D6D" w:rsidP="001B06A8">
      <w:pPr>
        <w:spacing w:line="240" w:lineRule="auto"/>
        <w:rPr>
          <w:rFonts w:ascii="Calibri" w:hAnsi="Calibri" w:cs="Calibri"/>
          <w:sz w:val="22"/>
          <w:szCs w:val="22"/>
        </w:rPr>
      </w:pPr>
      <w:r>
        <w:rPr>
          <w:rFonts w:ascii="Calibri" w:hAnsi="Calibri" w:cs="Calibri"/>
          <w:sz w:val="22"/>
          <w:szCs w:val="22"/>
        </w:rPr>
        <w:t xml:space="preserve">Professor Finney and Dr He have extensive experience in the topic and methods of this PhD having published widely in this field. </w:t>
      </w:r>
      <w:r w:rsidR="00CF5280">
        <w:rPr>
          <w:rFonts w:ascii="Calibri" w:hAnsi="Calibri" w:cs="Calibri"/>
          <w:sz w:val="22"/>
          <w:szCs w:val="22"/>
        </w:rPr>
        <w:t>Supervision will take the form o</w:t>
      </w:r>
      <w:r w:rsidR="00EC59AE">
        <w:rPr>
          <w:rFonts w:ascii="Calibri" w:hAnsi="Calibri" w:cs="Calibri"/>
          <w:sz w:val="22"/>
          <w:szCs w:val="22"/>
        </w:rPr>
        <w:t>f</w:t>
      </w:r>
      <w:r w:rsidR="00CF5280">
        <w:rPr>
          <w:rFonts w:ascii="Calibri" w:hAnsi="Calibri" w:cs="Calibri"/>
          <w:sz w:val="22"/>
          <w:szCs w:val="22"/>
        </w:rPr>
        <w:t xml:space="preserve"> weekly meetings of the research team in the initial phase, moving to fortnightly meetings. </w:t>
      </w:r>
      <w:r w:rsidR="003703D6">
        <w:rPr>
          <w:rFonts w:ascii="Calibri" w:hAnsi="Calibri" w:cs="Calibri"/>
          <w:sz w:val="22"/>
          <w:szCs w:val="22"/>
        </w:rPr>
        <w:t>The student will be embedded in the large postgraduate research community of the S</w:t>
      </w:r>
      <w:r w:rsidR="00F873BD">
        <w:rPr>
          <w:rFonts w:ascii="Calibri" w:hAnsi="Calibri" w:cs="Calibri"/>
          <w:sz w:val="22"/>
          <w:szCs w:val="22"/>
        </w:rPr>
        <w:t>c</w:t>
      </w:r>
      <w:r w:rsidR="003703D6">
        <w:rPr>
          <w:rFonts w:ascii="Calibri" w:hAnsi="Calibri" w:cs="Calibri"/>
          <w:sz w:val="22"/>
          <w:szCs w:val="22"/>
        </w:rPr>
        <w:t>hool</w:t>
      </w:r>
      <w:r w:rsidR="00F873BD">
        <w:rPr>
          <w:rFonts w:ascii="Calibri" w:hAnsi="Calibri" w:cs="Calibri"/>
          <w:sz w:val="22"/>
          <w:szCs w:val="22"/>
        </w:rPr>
        <w:t xml:space="preserve"> and will take part in Population and Health Research Group meetings which take place at least weekly. Additionally, the student will be affiliated to the Centre for Population Change with opportunities for t</w:t>
      </w:r>
      <w:r w:rsidR="006D7060">
        <w:rPr>
          <w:rFonts w:ascii="Calibri" w:hAnsi="Calibri" w:cs="Calibri"/>
          <w:sz w:val="22"/>
          <w:szCs w:val="22"/>
        </w:rPr>
        <w:t xml:space="preserve">raining and networking. The student will enter the University’s GradSkills programme </w:t>
      </w:r>
      <w:r w:rsidR="00E24942">
        <w:rPr>
          <w:rFonts w:ascii="Calibri" w:hAnsi="Calibri" w:cs="Calibri"/>
          <w:sz w:val="22"/>
          <w:szCs w:val="22"/>
        </w:rPr>
        <w:t xml:space="preserve">which, together with bespoke professional development, will </w:t>
      </w:r>
      <w:r w:rsidR="00EC59AE">
        <w:rPr>
          <w:rFonts w:ascii="Calibri" w:hAnsi="Calibri" w:cs="Calibri"/>
          <w:sz w:val="22"/>
          <w:szCs w:val="22"/>
        </w:rPr>
        <w:t>provide holistic postgraduate research training.</w:t>
      </w:r>
    </w:p>
    <w:p w14:paraId="69CD66B9" w14:textId="77777777" w:rsidR="005E2DAB" w:rsidRDefault="005E2DAB" w:rsidP="001B06A8">
      <w:pPr>
        <w:spacing w:line="240" w:lineRule="auto"/>
        <w:rPr>
          <w:rFonts w:ascii="Calibri" w:hAnsi="Calibri" w:cs="Calibri"/>
          <w:sz w:val="22"/>
          <w:szCs w:val="22"/>
        </w:rPr>
      </w:pPr>
    </w:p>
    <w:p w14:paraId="53306CFE" w14:textId="2018D0EE" w:rsidR="005E2DAB" w:rsidRPr="005E2DAB" w:rsidRDefault="005E2DAB" w:rsidP="001B06A8">
      <w:pPr>
        <w:spacing w:line="240" w:lineRule="auto"/>
        <w:rPr>
          <w:rFonts w:ascii="Calibri" w:hAnsi="Calibri" w:cs="Calibri"/>
          <w:b/>
          <w:bCs/>
          <w:sz w:val="22"/>
          <w:szCs w:val="22"/>
        </w:rPr>
      </w:pPr>
      <w:r w:rsidRPr="005E2DAB">
        <w:rPr>
          <w:rFonts w:ascii="Calibri" w:hAnsi="Calibri" w:cs="Calibri"/>
          <w:b/>
          <w:bCs/>
          <w:sz w:val="22"/>
          <w:szCs w:val="22"/>
        </w:rPr>
        <w:t>Timeline</w:t>
      </w:r>
    </w:p>
    <w:p w14:paraId="62227940" w14:textId="0CC95B47" w:rsidR="005E2DAB" w:rsidRDefault="00EC59AE" w:rsidP="006B6C73">
      <w:pPr>
        <w:spacing w:line="240" w:lineRule="auto"/>
        <w:ind w:left="720" w:hanging="720"/>
        <w:rPr>
          <w:rFonts w:ascii="Calibri" w:hAnsi="Calibri" w:cs="Calibri"/>
          <w:sz w:val="22"/>
          <w:szCs w:val="22"/>
        </w:rPr>
      </w:pPr>
      <w:r>
        <w:rPr>
          <w:rFonts w:ascii="Calibri" w:hAnsi="Calibri" w:cs="Calibri"/>
          <w:sz w:val="22"/>
          <w:szCs w:val="22"/>
        </w:rPr>
        <w:t xml:space="preserve">Year 1: </w:t>
      </w:r>
      <w:r w:rsidR="006B6C73">
        <w:rPr>
          <w:rFonts w:ascii="Calibri" w:hAnsi="Calibri" w:cs="Calibri"/>
          <w:sz w:val="22"/>
          <w:szCs w:val="22"/>
        </w:rPr>
        <w:tab/>
      </w:r>
      <w:r w:rsidR="00C41687">
        <w:rPr>
          <w:rFonts w:ascii="Calibri" w:hAnsi="Calibri" w:cs="Calibri"/>
          <w:sz w:val="22"/>
          <w:szCs w:val="22"/>
        </w:rPr>
        <w:t>Systematic literature review; professional development programm</w:t>
      </w:r>
      <w:r w:rsidR="006A7C85">
        <w:rPr>
          <w:rFonts w:ascii="Calibri" w:hAnsi="Calibri" w:cs="Calibri"/>
          <w:sz w:val="22"/>
          <w:szCs w:val="22"/>
        </w:rPr>
        <w:t>e</w:t>
      </w:r>
      <w:r w:rsidR="00C41687">
        <w:rPr>
          <w:rFonts w:ascii="Calibri" w:hAnsi="Calibri" w:cs="Calibri"/>
          <w:sz w:val="22"/>
          <w:szCs w:val="22"/>
        </w:rPr>
        <w:t>; data familiar</w:t>
      </w:r>
      <w:r w:rsidR="003C2F19">
        <w:rPr>
          <w:rFonts w:ascii="Calibri" w:hAnsi="Calibri" w:cs="Calibri"/>
          <w:sz w:val="22"/>
          <w:szCs w:val="22"/>
        </w:rPr>
        <w:t xml:space="preserve">ity and access applications; </w:t>
      </w:r>
      <w:r w:rsidR="00E2274E">
        <w:rPr>
          <w:rFonts w:ascii="Calibri" w:hAnsi="Calibri" w:cs="Calibri"/>
          <w:sz w:val="22"/>
          <w:szCs w:val="22"/>
        </w:rPr>
        <w:t>draft research design</w:t>
      </w:r>
      <w:r w:rsidR="00B67B8D">
        <w:rPr>
          <w:rFonts w:ascii="Calibri" w:hAnsi="Calibri" w:cs="Calibri"/>
          <w:sz w:val="22"/>
          <w:szCs w:val="22"/>
        </w:rPr>
        <w:t xml:space="preserve"> chapter</w:t>
      </w:r>
      <w:r w:rsidR="00E2274E">
        <w:rPr>
          <w:rFonts w:ascii="Calibri" w:hAnsi="Calibri" w:cs="Calibri"/>
          <w:sz w:val="22"/>
          <w:szCs w:val="22"/>
        </w:rPr>
        <w:t xml:space="preserve">; conference poster presentation; </w:t>
      </w:r>
      <w:r w:rsidR="003C2F19">
        <w:rPr>
          <w:rFonts w:ascii="Calibri" w:hAnsi="Calibri" w:cs="Calibri"/>
          <w:sz w:val="22"/>
          <w:szCs w:val="22"/>
        </w:rPr>
        <w:t>3 month review; 12 month review</w:t>
      </w:r>
      <w:r w:rsidR="00022320">
        <w:rPr>
          <w:rFonts w:ascii="Calibri" w:hAnsi="Calibri" w:cs="Calibri"/>
          <w:sz w:val="22"/>
          <w:szCs w:val="22"/>
        </w:rPr>
        <w:t xml:space="preserve"> and </w:t>
      </w:r>
      <w:r w:rsidR="00B67B8D">
        <w:rPr>
          <w:rFonts w:ascii="Calibri" w:hAnsi="Calibri" w:cs="Calibri"/>
          <w:sz w:val="22"/>
          <w:szCs w:val="22"/>
        </w:rPr>
        <w:t xml:space="preserve">School </w:t>
      </w:r>
      <w:r w:rsidR="00022320">
        <w:rPr>
          <w:rFonts w:ascii="Calibri" w:hAnsi="Calibri" w:cs="Calibri"/>
          <w:sz w:val="22"/>
          <w:szCs w:val="22"/>
        </w:rPr>
        <w:t>postgraduate conference participation</w:t>
      </w:r>
      <w:r w:rsidR="00E2274E">
        <w:rPr>
          <w:rFonts w:ascii="Calibri" w:hAnsi="Calibri" w:cs="Calibri"/>
          <w:sz w:val="22"/>
          <w:szCs w:val="22"/>
        </w:rPr>
        <w:t>.</w:t>
      </w:r>
    </w:p>
    <w:p w14:paraId="518F7750" w14:textId="57F44B55" w:rsidR="00B67B8D" w:rsidRDefault="00E2274E" w:rsidP="00D72641">
      <w:pPr>
        <w:spacing w:line="240" w:lineRule="auto"/>
        <w:ind w:left="720" w:hanging="720"/>
        <w:rPr>
          <w:rFonts w:ascii="Calibri" w:hAnsi="Calibri" w:cs="Calibri"/>
          <w:sz w:val="22"/>
          <w:szCs w:val="22"/>
        </w:rPr>
      </w:pPr>
      <w:r>
        <w:rPr>
          <w:rFonts w:ascii="Calibri" w:hAnsi="Calibri" w:cs="Calibri"/>
          <w:sz w:val="22"/>
          <w:szCs w:val="22"/>
        </w:rPr>
        <w:t xml:space="preserve">Year 2: </w:t>
      </w:r>
      <w:r w:rsidR="006B6C73">
        <w:rPr>
          <w:rFonts w:ascii="Calibri" w:hAnsi="Calibri" w:cs="Calibri"/>
          <w:sz w:val="22"/>
          <w:szCs w:val="22"/>
        </w:rPr>
        <w:tab/>
      </w:r>
      <w:r w:rsidR="003C0B87">
        <w:rPr>
          <w:rFonts w:ascii="Calibri" w:hAnsi="Calibri" w:cs="Calibri"/>
          <w:sz w:val="22"/>
          <w:szCs w:val="22"/>
        </w:rPr>
        <w:t>Finalise research design; data and analytical methods training courses</w:t>
      </w:r>
      <w:r w:rsidR="00D72641">
        <w:rPr>
          <w:rFonts w:ascii="Calibri" w:hAnsi="Calibri" w:cs="Calibri"/>
          <w:sz w:val="22"/>
          <w:szCs w:val="22"/>
        </w:rPr>
        <w:t xml:space="preserve">; analyses with UK data; analyses with China data; potential internship/research visit to Chinese institution; </w:t>
      </w:r>
      <w:r w:rsidR="0063707C">
        <w:rPr>
          <w:rFonts w:ascii="Calibri" w:hAnsi="Calibri" w:cs="Calibri"/>
          <w:sz w:val="22"/>
          <w:szCs w:val="22"/>
        </w:rPr>
        <w:t xml:space="preserve">ongoing professional development (including writing skills); </w:t>
      </w:r>
      <w:r w:rsidR="00B67B8D">
        <w:rPr>
          <w:rFonts w:ascii="Calibri" w:hAnsi="Calibri" w:cs="Calibri"/>
          <w:sz w:val="22"/>
          <w:szCs w:val="22"/>
        </w:rPr>
        <w:t>initial write up on analytical chapters; conference presentation; School postgraduate conference participation.</w:t>
      </w:r>
    </w:p>
    <w:p w14:paraId="27944E50" w14:textId="10665F67" w:rsidR="00E2274E" w:rsidRDefault="00B67B8D" w:rsidP="00D72641">
      <w:pPr>
        <w:spacing w:line="240" w:lineRule="auto"/>
        <w:ind w:left="720" w:hanging="720"/>
        <w:rPr>
          <w:rFonts w:ascii="Calibri" w:hAnsi="Calibri" w:cs="Calibri"/>
          <w:sz w:val="22"/>
          <w:szCs w:val="22"/>
        </w:rPr>
      </w:pPr>
      <w:r>
        <w:rPr>
          <w:rFonts w:ascii="Calibri" w:hAnsi="Calibri" w:cs="Calibri"/>
          <w:sz w:val="22"/>
          <w:szCs w:val="22"/>
        </w:rPr>
        <w:t xml:space="preserve">Year 3: </w:t>
      </w:r>
      <w:r>
        <w:rPr>
          <w:rFonts w:ascii="Calibri" w:hAnsi="Calibri" w:cs="Calibri"/>
          <w:sz w:val="22"/>
          <w:szCs w:val="22"/>
        </w:rPr>
        <w:tab/>
        <w:t xml:space="preserve">Finalise empirical analyses and </w:t>
      </w:r>
      <w:r w:rsidR="0063707C">
        <w:rPr>
          <w:rFonts w:ascii="Calibri" w:hAnsi="Calibri" w:cs="Calibri"/>
          <w:sz w:val="22"/>
          <w:szCs w:val="22"/>
        </w:rPr>
        <w:t xml:space="preserve">analytical chapters; writing of discussion and conclusion chapters; conference presentation; ongoing professional development (including conclusion/dissemination skills); </w:t>
      </w:r>
      <w:r w:rsidR="00843687">
        <w:rPr>
          <w:rFonts w:ascii="Calibri" w:hAnsi="Calibri" w:cs="Calibri"/>
          <w:sz w:val="22"/>
          <w:szCs w:val="22"/>
        </w:rPr>
        <w:t xml:space="preserve">conference presentation(s); 36 month review and School postgraduation conference participation; </w:t>
      </w:r>
      <w:r w:rsidR="004631BC">
        <w:rPr>
          <w:rFonts w:ascii="Calibri" w:hAnsi="Calibri" w:cs="Calibri"/>
          <w:sz w:val="22"/>
          <w:szCs w:val="22"/>
        </w:rPr>
        <w:t xml:space="preserve">finalise thesis and </w:t>
      </w:r>
      <w:r w:rsidR="00843687">
        <w:rPr>
          <w:rFonts w:ascii="Calibri" w:hAnsi="Calibri" w:cs="Calibri"/>
          <w:sz w:val="22"/>
          <w:szCs w:val="22"/>
        </w:rPr>
        <w:t>thesis submission.</w:t>
      </w:r>
    </w:p>
    <w:p w14:paraId="5B198ED6" w14:textId="77777777" w:rsidR="007D1D3C" w:rsidRDefault="007D1D3C" w:rsidP="00D72641">
      <w:pPr>
        <w:spacing w:line="240" w:lineRule="auto"/>
        <w:ind w:left="720" w:hanging="720"/>
        <w:rPr>
          <w:rFonts w:ascii="Calibri" w:hAnsi="Calibri" w:cs="Calibri"/>
          <w:sz w:val="22"/>
          <w:szCs w:val="22"/>
        </w:rPr>
      </w:pPr>
    </w:p>
    <w:p w14:paraId="6F3BF52E" w14:textId="450184A1" w:rsidR="005E2DAB" w:rsidRDefault="00AE24F7" w:rsidP="007A68F3">
      <w:pPr>
        <w:spacing w:line="240" w:lineRule="auto"/>
        <w:ind w:left="720" w:hanging="720"/>
        <w:rPr>
          <w:rFonts w:ascii="Calibri" w:hAnsi="Calibri" w:cs="Calibri"/>
          <w:b/>
          <w:bCs/>
          <w:sz w:val="22"/>
          <w:szCs w:val="22"/>
        </w:rPr>
      </w:pPr>
      <w:r>
        <w:rPr>
          <w:rFonts w:ascii="Calibri" w:hAnsi="Calibri" w:cs="Calibri"/>
          <w:sz w:val="22"/>
          <w:szCs w:val="22"/>
        </w:rPr>
        <w:t>Contact for enquiries and further information:</w:t>
      </w:r>
      <w:r w:rsidR="007A68F3">
        <w:rPr>
          <w:rFonts w:ascii="Calibri" w:hAnsi="Calibri" w:cs="Calibri"/>
          <w:sz w:val="22"/>
          <w:szCs w:val="22"/>
        </w:rPr>
        <w:t xml:space="preserve"> Professor Nissa Finney</w:t>
      </w:r>
      <w:r>
        <w:rPr>
          <w:rFonts w:ascii="Calibri" w:hAnsi="Calibri" w:cs="Calibri"/>
          <w:sz w:val="22"/>
          <w:szCs w:val="22"/>
        </w:rPr>
        <w:t xml:space="preserve"> </w:t>
      </w:r>
      <w:hyperlink r:id="rId8" w:history="1">
        <w:r w:rsidRPr="00DE5E16">
          <w:rPr>
            <w:rStyle w:val="Hyperlink"/>
            <w:rFonts w:ascii="Calibri" w:hAnsi="Calibri" w:cs="Calibri"/>
            <w:sz w:val="22"/>
            <w:szCs w:val="22"/>
          </w:rPr>
          <w:t>Nissa.Finney@st-andrews.ac.uk</w:t>
        </w:r>
      </w:hyperlink>
      <w:r w:rsidR="007A68F3">
        <w:rPr>
          <w:rFonts w:ascii="Calibri" w:hAnsi="Calibri" w:cs="Calibri"/>
          <w:sz w:val="22"/>
          <w:szCs w:val="22"/>
        </w:rPr>
        <w:t xml:space="preserve"> and Dr Qiong He</w:t>
      </w:r>
      <w:r>
        <w:rPr>
          <w:rFonts w:ascii="Calibri" w:hAnsi="Calibri" w:cs="Calibri"/>
          <w:sz w:val="22"/>
          <w:szCs w:val="22"/>
        </w:rPr>
        <w:t xml:space="preserve"> </w:t>
      </w:r>
      <w:hyperlink r:id="rId9" w:history="1">
        <w:r w:rsidR="003012BB" w:rsidRPr="00DE5E16">
          <w:rPr>
            <w:rStyle w:val="Hyperlink"/>
            <w:rFonts w:ascii="Calibri" w:hAnsi="Calibri" w:cs="Calibri"/>
            <w:sz w:val="22"/>
            <w:szCs w:val="22"/>
          </w:rPr>
          <w:t>qh7@st-andrews.ac.uk</w:t>
        </w:r>
      </w:hyperlink>
      <w:r w:rsidR="003012BB">
        <w:rPr>
          <w:rFonts w:ascii="Calibri" w:hAnsi="Calibri" w:cs="Calibri"/>
          <w:sz w:val="22"/>
          <w:szCs w:val="22"/>
        </w:rPr>
        <w:t xml:space="preserve"> </w:t>
      </w:r>
      <w:r w:rsidR="005E2DAB">
        <w:rPr>
          <w:rFonts w:ascii="Calibri" w:hAnsi="Calibri" w:cs="Calibri"/>
          <w:b/>
          <w:bCs/>
          <w:sz w:val="22"/>
          <w:szCs w:val="22"/>
        </w:rPr>
        <w:br w:type="page"/>
      </w:r>
    </w:p>
    <w:p w14:paraId="7BDF9104" w14:textId="00198CD2" w:rsidR="001B06A8" w:rsidRPr="005E2DAB" w:rsidRDefault="00667103" w:rsidP="001B06A8">
      <w:pPr>
        <w:spacing w:line="240" w:lineRule="auto"/>
        <w:rPr>
          <w:rFonts w:ascii="Calibri" w:hAnsi="Calibri" w:cs="Calibri"/>
          <w:b/>
          <w:bCs/>
          <w:sz w:val="22"/>
          <w:szCs w:val="22"/>
        </w:rPr>
      </w:pPr>
      <w:r w:rsidRPr="005E2DAB">
        <w:rPr>
          <w:rFonts w:ascii="Calibri" w:hAnsi="Calibri" w:cs="Calibri"/>
          <w:b/>
          <w:bCs/>
          <w:sz w:val="22"/>
          <w:szCs w:val="22"/>
        </w:rPr>
        <w:lastRenderedPageBreak/>
        <w:t>Reference</w:t>
      </w:r>
      <w:r w:rsidR="005E2DAB" w:rsidRPr="005E2DAB">
        <w:rPr>
          <w:rFonts w:ascii="Calibri" w:hAnsi="Calibri" w:cs="Calibri"/>
          <w:b/>
          <w:bCs/>
          <w:sz w:val="22"/>
          <w:szCs w:val="22"/>
        </w:rPr>
        <w:t>s</w:t>
      </w:r>
    </w:p>
    <w:p w14:paraId="4ACB508C" w14:textId="77777777" w:rsidR="001B06A8" w:rsidRPr="0002065A" w:rsidRDefault="001B06A8" w:rsidP="001B06A8">
      <w:pPr>
        <w:spacing w:line="240" w:lineRule="auto"/>
        <w:rPr>
          <w:rFonts w:ascii="Calibri" w:hAnsi="Calibri" w:cs="Calibri"/>
          <w:sz w:val="22"/>
          <w:szCs w:val="22"/>
        </w:rPr>
      </w:pPr>
      <w:r w:rsidRPr="0002065A">
        <w:rPr>
          <w:rFonts w:ascii="Calibri" w:hAnsi="Calibri" w:cs="Calibri"/>
          <w:sz w:val="22"/>
          <w:szCs w:val="22"/>
        </w:rPr>
        <w:t>Arundel, R., &amp; Ronald, R. (2021). The false promise of homeownership: Homeowner societies in an era of declining access and rising inequality. Urban Studies, 58(6), 1120–1140. https://doi.org/10.1177/0042098019895227</w:t>
      </w:r>
    </w:p>
    <w:p w14:paraId="7E428837" w14:textId="77777777" w:rsidR="001B06A8" w:rsidRPr="0002065A" w:rsidRDefault="001B06A8" w:rsidP="001B06A8">
      <w:pPr>
        <w:spacing w:line="240" w:lineRule="auto"/>
        <w:rPr>
          <w:rFonts w:ascii="Calibri" w:hAnsi="Calibri" w:cs="Calibri"/>
          <w:sz w:val="22"/>
          <w:szCs w:val="22"/>
        </w:rPr>
      </w:pPr>
      <w:r w:rsidRPr="0002065A">
        <w:rPr>
          <w:rFonts w:ascii="Calibri" w:hAnsi="Calibri" w:cs="Calibri"/>
          <w:sz w:val="22"/>
          <w:szCs w:val="22"/>
        </w:rPr>
        <w:t>Champion, T., &amp; Shuttleworth, I. (2017). Are people changing address less? An analysis of migration within England and Wales, 1971-2011, by distance of move Population, Space and Place, 23(3), e2026. https://doi.org/10.1002/psp.2026</w:t>
      </w:r>
    </w:p>
    <w:p w14:paraId="5970A189" w14:textId="77777777" w:rsidR="001B06A8" w:rsidRPr="0002065A" w:rsidRDefault="001B06A8" w:rsidP="001B06A8">
      <w:pPr>
        <w:spacing w:line="240" w:lineRule="auto"/>
        <w:rPr>
          <w:rFonts w:ascii="Calibri" w:hAnsi="Calibri" w:cs="Calibri"/>
          <w:sz w:val="22"/>
          <w:szCs w:val="22"/>
        </w:rPr>
      </w:pPr>
      <w:r w:rsidRPr="0002065A">
        <w:rPr>
          <w:rFonts w:ascii="Calibri" w:hAnsi="Calibri" w:cs="Calibri"/>
          <w:sz w:val="22"/>
          <w:szCs w:val="22"/>
        </w:rPr>
        <w:t>Champion, T. Cooke, T. &amp; I. Shuttleworth (2018), Internal migration in the developed world: Are we becoming less mobile? Routledge. https://doi.org/10.4324/9781315589282</w:t>
      </w:r>
    </w:p>
    <w:p w14:paraId="50F1F2D7" w14:textId="77777777" w:rsidR="001B06A8" w:rsidRPr="0002065A" w:rsidRDefault="001B06A8" w:rsidP="001B06A8">
      <w:pPr>
        <w:spacing w:line="240" w:lineRule="auto"/>
        <w:rPr>
          <w:rFonts w:ascii="Calibri" w:hAnsi="Calibri" w:cs="Calibri"/>
          <w:sz w:val="22"/>
          <w:szCs w:val="22"/>
        </w:rPr>
      </w:pPr>
      <w:r w:rsidRPr="0002065A">
        <w:rPr>
          <w:rFonts w:ascii="Calibri" w:hAnsi="Calibri" w:cs="Calibri"/>
          <w:sz w:val="22"/>
          <w:szCs w:val="22"/>
        </w:rPr>
        <w:t>Chen, J., &amp; Wu, F. (2022). Housing and land financialization under the state ownership of land in China. Land Use Policy, 112(January 2020), 104844. https://doi.org/10.1016/j.landusepol.2020.104844</w:t>
      </w:r>
    </w:p>
    <w:p w14:paraId="65BD2FD6" w14:textId="77777777" w:rsidR="001B06A8" w:rsidRPr="0002065A" w:rsidRDefault="001B06A8" w:rsidP="001B06A8">
      <w:pPr>
        <w:spacing w:line="240" w:lineRule="auto"/>
        <w:rPr>
          <w:rFonts w:ascii="Calibri" w:hAnsi="Calibri" w:cs="Calibri"/>
          <w:sz w:val="22"/>
          <w:szCs w:val="22"/>
        </w:rPr>
      </w:pPr>
      <w:r w:rsidRPr="0002065A">
        <w:rPr>
          <w:rFonts w:ascii="Calibri" w:hAnsi="Calibri" w:cs="Calibri"/>
          <w:sz w:val="22"/>
          <w:szCs w:val="22"/>
        </w:rPr>
        <w:t xml:space="preserve">Cooke, T. J. (2013). Internal migration in decline. Professional Geographer, 65(4), 664–675. https://doi.org/10.1080/00330124.2012.724343 </w:t>
      </w:r>
    </w:p>
    <w:p w14:paraId="20EA960F" w14:textId="77777777" w:rsidR="001B06A8" w:rsidRPr="0002065A" w:rsidRDefault="001B06A8" w:rsidP="001B06A8">
      <w:pPr>
        <w:spacing w:line="240" w:lineRule="auto"/>
        <w:rPr>
          <w:rFonts w:ascii="Calibri" w:hAnsi="Calibri" w:cs="Calibri"/>
          <w:sz w:val="22"/>
          <w:szCs w:val="22"/>
        </w:rPr>
      </w:pPr>
      <w:r w:rsidRPr="0002065A">
        <w:rPr>
          <w:rFonts w:ascii="Calibri" w:hAnsi="Calibri" w:cs="Calibri"/>
          <w:sz w:val="22"/>
          <w:szCs w:val="22"/>
        </w:rPr>
        <w:t xml:space="preserve">Finney, N., Botterill, K., Cranston, S., Darlington-Pollock, F., McCollum, D., &amp; Shubin, S. (2024). Possibilities of population thinking: Histories and futures of Population Geography through reflections on 50 years of the Royal Geographical Society (with Institute of British Geographers) Population Geography Research Group. Population, Space and Place, e2767.  </w:t>
      </w:r>
    </w:p>
    <w:p w14:paraId="79FD3966" w14:textId="77777777" w:rsidR="001B06A8" w:rsidRPr="0002065A" w:rsidRDefault="001B06A8" w:rsidP="001B06A8">
      <w:pPr>
        <w:spacing w:line="240" w:lineRule="auto"/>
        <w:rPr>
          <w:rFonts w:ascii="Calibri" w:hAnsi="Calibri" w:cs="Calibri"/>
          <w:sz w:val="22"/>
          <w:szCs w:val="22"/>
        </w:rPr>
      </w:pPr>
      <w:r w:rsidRPr="0002065A">
        <w:rPr>
          <w:rFonts w:ascii="Calibri" w:hAnsi="Calibri" w:cs="Calibri"/>
          <w:sz w:val="22"/>
          <w:szCs w:val="22"/>
        </w:rPr>
        <w:t>Frey, William. 2009. The Great American Migration Slowdown: Regional and Metropolitan Dimensions. Washington, DC: Brookings Institution.</w:t>
      </w:r>
    </w:p>
    <w:p w14:paraId="77A420A6" w14:textId="77777777" w:rsidR="001B06A8" w:rsidRPr="0002065A" w:rsidRDefault="001B06A8" w:rsidP="001B06A8">
      <w:pPr>
        <w:spacing w:line="240" w:lineRule="auto"/>
        <w:rPr>
          <w:rFonts w:ascii="Calibri" w:hAnsi="Calibri" w:cs="Calibri"/>
          <w:sz w:val="22"/>
          <w:szCs w:val="22"/>
        </w:rPr>
      </w:pPr>
      <w:r w:rsidRPr="0002065A">
        <w:rPr>
          <w:rFonts w:ascii="Calibri" w:hAnsi="Calibri" w:cs="Calibri"/>
          <w:sz w:val="22"/>
          <w:szCs w:val="22"/>
        </w:rPr>
        <w:t>Molloy, R., Smith, C. L., &amp; Wozniak, A. (2011). Internal migration in the United States. Journal of Economic perspectives, 25(3), 173-196.</w:t>
      </w:r>
    </w:p>
    <w:p w14:paraId="6E858107" w14:textId="77777777" w:rsidR="001B06A8" w:rsidRPr="0002065A" w:rsidRDefault="001B06A8" w:rsidP="001B06A8">
      <w:pPr>
        <w:spacing w:line="240" w:lineRule="auto"/>
        <w:rPr>
          <w:rFonts w:ascii="Calibri" w:hAnsi="Calibri" w:cs="Calibri"/>
          <w:sz w:val="22"/>
          <w:szCs w:val="22"/>
        </w:rPr>
      </w:pPr>
      <w:r w:rsidRPr="0002065A">
        <w:rPr>
          <w:rFonts w:ascii="Calibri" w:hAnsi="Calibri" w:cs="Calibri"/>
          <w:sz w:val="22"/>
          <w:szCs w:val="22"/>
        </w:rPr>
        <w:t>Mu, X., Cui, C., &amp; Cui, J. (2023). Migration up and down the urban hierarchy: The mediating effects of geographic mobility on migrants’ homeownership. Population, Space and Place, May. https://doi.org/10.1002/psp.2663</w:t>
      </w:r>
    </w:p>
    <w:p w14:paraId="12B3EBFF" w14:textId="77777777" w:rsidR="001B06A8" w:rsidRPr="0002065A" w:rsidRDefault="001B06A8" w:rsidP="001B06A8">
      <w:pPr>
        <w:spacing w:line="240" w:lineRule="auto"/>
        <w:rPr>
          <w:rFonts w:ascii="Calibri" w:hAnsi="Calibri" w:cs="Calibri"/>
          <w:sz w:val="22"/>
          <w:szCs w:val="22"/>
        </w:rPr>
      </w:pPr>
      <w:r w:rsidRPr="0002065A">
        <w:rPr>
          <w:rFonts w:ascii="Calibri" w:hAnsi="Calibri" w:cs="Calibri"/>
          <w:sz w:val="22"/>
          <w:szCs w:val="22"/>
        </w:rPr>
        <w:t>Robinson, J. (2016). Thinking cities through elsewhere: Comparative tactics for a more global urban studies. Progress in Human Geography, 40(1), 3–29. https://doi.org/10.1177/0309132515598025</w:t>
      </w:r>
    </w:p>
    <w:p w14:paraId="656D5F6D" w14:textId="77777777" w:rsidR="001B06A8" w:rsidRPr="0002065A" w:rsidRDefault="001B06A8" w:rsidP="001B06A8">
      <w:pPr>
        <w:spacing w:line="240" w:lineRule="auto"/>
        <w:rPr>
          <w:rFonts w:ascii="Calibri" w:hAnsi="Calibri" w:cs="Calibri"/>
          <w:sz w:val="22"/>
          <w:szCs w:val="22"/>
        </w:rPr>
      </w:pPr>
      <w:r w:rsidRPr="0002065A">
        <w:rPr>
          <w:rFonts w:ascii="Calibri" w:hAnsi="Calibri" w:cs="Calibri"/>
          <w:sz w:val="22"/>
          <w:szCs w:val="22"/>
        </w:rPr>
        <w:t>Shi, Q., Liu, T., &amp; Feng, C. (2024). The changing geography of interprovincial migration in China: history and new trends. Eurasian Geography and Economics, 00(00), 1–23. https://doi.org/10.1080/15387216.2024.2379847</w:t>
      </w:r>
    </w:p>
    <w:p w14:paraId="065FD371" w14:textId="77777777" w:rsidR="001B06A8" w:rsidRPr="0002065A" w:rsidRDefault="001B06A8" w:rsidP="001B06A8">
      <w:pPr>
        <w:spacing w:line="240" w:lineRule="auto"/>
        <w:rPr>
          <w:rFonts w:ascii="Calibri" w:hAnsi="Calibri" w:cs="Calibri"/>
          <w:sz w:val="22"/>
          <w:szCs w:val="22"/>
        </w:rPr>
      </w:pPr>
    </w:p>
    <w:p w14:paraId="382989DD" w14:textId="77777777" w:rsidR="00B838C5" w:rsidRPr="0002065A" w:rsidRDefault="00B838C5" w:rsidP="00667103">
      <w:pPr>
        <w:spacing w:line="240" w:lineRule="auto"/>
        <w:rPr>
          <w:rFonts w:ascii="Calibri" w:hAnsi="Calibri" w:cs="Calibri"/>
          <w:sz w:val="22"/>
          <w:szCs w:val="22"/>
        </w:rPr>
      </w:pPr>
    </w:p>
    <w:sectPr w:rsidR="00B838C5" w:rsidRPr="00020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EB"/>
    <w:rsid w:val="00017E76"/>
    <w:rsid w:val="0002065A"/>
    <w:rsid w:val="00022320"/>
    <w:rsid w:val="00043A4F"/>
    <w:rsid w:val="00050707"/>
    <w:rsid w:val="00060BE7"/>
    <w:rsid w:val="00072A03"/>
    <w:rsid w:val="00074766"/>
    <w:rsid w:val="00074FEB"/>
    <w:rsid w:val="000A450A"/>
    <w:rsid w:val="000C6C36"/>
    <w:rsid w:val="00102DCF"/>
    <w:rsid w:val="0012520B"/>
    <w:rsid w:val="00141B2A"/>
    <w:rsid w:val="00147300"/>
    <w:rsid w:val="0015447C"/>
    <w:rsid w:val="00156B42"/>
    <w:rsid w:val="0018075E"/>
    <w:rsid w:val="001A029E"/>
    <w:rsid w:val="001B06A8"/>
    <w:rsid w:val="001D1486"/>
    <w:rsid w:val="001D2C4D"/>
    <w:rsid w:val="001E1930"/>
    <w:rsid w:val="001E2EC6"/>
    <w:rsid w:val="00200824"/>
    <w:rsid w:val="00201804"/>
    <w:rsid w:val="002027EA"/>
    <w:rsid w:val="00207D6D"/>
    <w:rsid w:val="002178EE"/>
    <w:rsid w:val="00234E3B"/>
    <w:rsid w:val="00254CB1"/>
    <w:rsid w:val="00261E9F"/>
    <w:rsid w:val="002639D5"/>
    <w:rsid w:val="00265ECB"/>
    <w:rsid w:val="00277614"/>
    <w:rsid w:val="002C1FFE"/>
    <w:rsid w:val="002D06F1"/>
    <w:rsid w:val="002D29AF"/>
    <w:rsid w:val="002D31EF"/>
    <w:rsid w:val="002D725F"/>
    <w:rsid w:val="002E27DE"/>
    <w:rsid w:val="002E4BBD"/>
    <w:rsid w:val="002E7A0F"/>
    <w:rsid w:val="003010F3"/>
    <w:rsid w:val="003012BB"/>
    <w:rsid w:val="003053CC"/>
    <w:rsid w:val="0031589C"/>
    <w:rsid w:val="00317471"/>
    <w:rsid w:val="003262F2"/>
    <w:rsid w:val="00326F04"/>
    <w:rsid w:val="00331A1D"/>
    <w:rsid w:val="00344159"/>
    <w:rsid w:val="00351000"/>
    <w:rsid w:val="00352793"/>
    <w:rsid w:val="00363FCD"/>
    <w:rsid w:val="003703D6"/>
    <w:rsid w:val="0037368F"/>
    <w:rsid w:val="00376F3C"/>
    <w:rsid w:val="0038634A"/>
    <w:rsid w:val="00393B79"/>
    <w:rsid w:val="003C0B87"/>
    <w:rsid w:val="003C194E"/>
    <w:rsid w:val="003C2F19"/>
    <w:rsid w:val="003D0F0C"/>
    <w:rsid w:val="003D2046"/>
    <w:rsid w:val="003E0F2E"/>
    <w:rsid w:val="003E1515"/>
    <w:rsid w:val="003E45ED"/>
    <w:rsid w:val="003E54A5"/>
    <w:rsid w:val="00405F3B"/>
    <w:rsid w:val="00425958"/>
    <w:rsid w:val="00456810"/>
    <w:rsid w:val="004631BC"/>
    <w:rsid w:val="0046700D"/>
    <w:rsid w:val="00467978"/>
    <w:rsid w:val="00470B06"/>
    <w:rsid w:val="004774E7"/>
    <w:rsid w:val="00480778"/>
    <w:rsid w:val="004A3FD3"/>
    <w:rsid w:val="004C1D80"/>
    <w:rsid w:val="004D46E3"/>
    <w:rsid w:val="004D4833"/>
    <w:rsid w:val="004E1A6F"/>
    <w:rsid w:val="005034B9"/>
    <w:rsid w:val="00515A8B"/>
    <w:rsid w:val="0051631C"/>
    <w:rsid w:val="005220A4"/>
    <w:rsid w:val="00525EE2"/>
    <w:rsid w:val="00574E08"/>
    <w:rsid w:val="00594B61"/>
    <w:rsid w:val="005C2F2F"/>
    <w:rsid w:val="005E2DAB"/>
    <w:rsid w:val="005F1FD7"/>
    <w:rsid w:val="005F313A"/>
    <w:rsid w:val="005F63DB"/>
    <w:rsid w:val="006113CE"/>
    <w:rsid w:val="00617C03"/>
    <w:rsid w:val="006369A4"/>
    <w:rsid w:val="0063707C"/>
    <w:rsid w:val="00653994"/>
    <w:rsid w:val="006669FA"/>
    <w:rsid w:val="00667103"/>
    <w:rsid w:val="00670EE2"/>
    <w:rsid w:val="006932D7"/>
    <w:rsid w:val="006A03EA"/>
    <w:rsid w:val="006A2BE7"/>
    <w:rsid w:val="006A7C85"/>
    <w:rsid w:val="006B57B7"/>
    <w:rsid w:val="006B6C73"/>
    <w:rsid w:val="006C4D0F"/>
    <w:rsid w:val="006D7060"/>
    <w:rsid w:val="006F70F9"/>
    <w:rsid w:val="007326E7"/>
    <w:rsid w:val="00756357"/>
    <w:rsid w:val="00763BE7"/>
    <w:rsid w:val="00763EF1"/>
    <w:rsid w:val="0076540F"/>
    <w:rsid w:val="00767490"/>
    <w:rsid w:val="007770F9"/>
    <w:rsid w:val="007848D7"/>
    <w:rsid w:val="0079203A"/>
    <w:rsid w:val="007A3A98"/>
    <w:rsid w:val="007A514F"/>
    <w:rsid w:val="007A68F3"/>
    <w:rsid w:val="007A7C3C"/>
    <w:rsid w:val="007C3423"/>
    <w:rsid w:val="007D1D3C"/>
    <w:rsid w:val="007D7364"/>
    <w:rsid w:val="007E2938"/>
    <w:rsid w:val="007F40D8"/>
    <w:rsid w:val="00804197"/>
    <w:rsid w:val="008220EB"/>
    <w:rsid w:val="00824FF7"/>
    <w:rsid w:val="00825311"/>
    <w:rsid w:val="008413C6"/>
    <w:rsid w:val="00842E75"/>
    <w:rsid w:val="00843687"/>
    <w:rsid w:val="00851A41"/>
    <w:rsid w:val="008546F3"/>
    <w:rsid w:val="0089077A"/>
    <w:rsid w:val="008A4B12"/>
    <w:rsid w:val="008B000F"/>
    <w:rsid w:val="008B33C6"/>
    <w:rsid w:val="008C2494"/>
    <w:rsid w:val="008D053D"/>
    <w:rsid w:val="008F3D45"/>
    <w:rsid w:val="008F68AA"/>
    <w:rsid w:val="00945A65"/>
    <w:rsid w:val="0097076D"/>
    <w:rsid w:val="009B7929"/>
    <w:rsid w:val="00A02E6A"/>
    <w:rsid w:val="00A11E3E"/>
    <w:rsid w:val="00A243F8"/>
    <w:rsid w:val="00A2468B"/>
    <w:rsid w:val="00A31CAD"/>
    <w:rsid w:val="00A4006B"/>
    <w:rsid w:val="00A70027"/>
    <w:rsid w:val="00A74B3C"/>
    <w:rsid w:val="00A95047"/>
    <w:rsid w:val="00AD21B3"/>
    <w:rsid w:val="00AD29AA"/>
    <w:rsid w:val="00AD4B65"/>
    <w:rsid w:val="00AE24F7"/>
    <w:rsid w:val="00AF0F4D"/>
    <w:rsid w:val="00B02758"/>
    <w:rsid w:val="00B10571"/>
    <w:rsid w:val="00B13375"/>
    <w:rsid w:val="00B36AE9"/>
    <w:rsid w:val="00B50AF9"/>
    <w:rsid w:val="00B54905"/>
    <w:rsid w:val="00B55750"/>
    <w:rsid w:val="00B67B8D"/>
    <w:rsid w:val="00B838C5"/>
    <w:rsid w:val="00B83938"/>
    <w:rsid w:val="00B903F4"/>
    <w:rsid w:val="00B96AD9"/>
    <w:rsid w:val="00B974FE"/>
    <w:rsid w:val="00BA3F76"/>
    <w:rsid w:val="00BB2243"/>
    <w:rsid w:val="00BC51BB"/>
    <w:rsid w:val="00BD08CA"/>
    <w:rsid w:val="00C010C0"/>
    <w:rsid w:val="00C06088"/>
    <w:rsid w:val="00C14C9E"/>
    <w:rsid w:val="00C30B73"/>
    <w:rsid w:val="00C3152D"/>
    <w:rsid w:val="00C31A57"/>
    <w:rsid w:val="00C41687"/>
    <w:rsid w:val="00C72BD0"/>
    <w:rsid w:val="00C764EA"/>
    <w:rsid w:val="00C867E0"/>
    <w:rsid w:val="00C90AC9"/>
    <w:rsid w:val="00C93B1E"/>
    <w:rsid w:val="00C95D83"/>
    <w:rsid w:val="00CD3F91"/>
    <w:rsid w:val="00CE2A3B"/>
    <w:rsid w:val="00CE765F"/>
    <w:rsid w:val="00CF5280"/>
    <w:rsid w:val="00D04D39"/>
    <w:rsid w:val="00D06303"/>
    <w:rsid w:val="00D13A69"/>
    <w:rsid w:val="00D24CAF"/>
    <w:rsid w:val="00D25789"/>
    <w:rsid w:val="00D50440"/>
    <w:rsid w:val="00D51BE4"/>
    <w:rsid w:val="00D72641"/>
    <w:rsid w:val="00D93705"/>
    <w:rsid w:val="00DA409B"/>
    <w:rsid w:val="00DC7074"/>
    <w:rsid w:val="00DE1C5C"/>
    <w:rsid w:val="00DE55C9"/>
    <w:rsid w:val="00DE577A"/>
    <w:rsid w:val="00DF3229"/>
    <w:rsid w:val="00E2274E"/>
    <w:rsid w:val="00E24942"/>
    <w:rsid w:val="00E412EA"/>
    <w:rsid w:val="00E54775"/>
    <w:rsid w:val="00E739A7"/>
    <w:rsid w:val="00E93B05"/>
    <w:rsid w:val="00E97480"/>
    <w:rsid w:val="00EB06F4"/>
    <w:rsid w:val="00EC59AE"/>
    <w:rsid w:val="00EC6E58"/>
    <w:rsid w:val="00ED15E6"/>
    <w:rsid w:val="00ED3391"/>
    <w:rsid w:val="00F11281"/>
    <w:rsid w:val="00F11320"/>
    <w:rsid w:val="00F20050"/>
    <w:rsid w:val="00F5683C"/>
    <w:rsid w:val="00F6617E"/>
    <w:rsid w:val="00F83529"/>
    <w:rsid w:val="00F873BD"/>
    <w:rsid w:val="00F97130"/>
    <w:rsid w:val="00FE65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5B6F"/>
  <w15:chartTrackingRefBased/>
  <w15:docId w15:val="{AC8422DB-69F5-B049-8A27-A2C05B32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FEB"/>
    <w:rPr>
      <w:rFonts w:eastAsiaTheme="majorEastAsia" w:cstheme="majorBidi"/>
      <w:color w:val="272727" w:themeColor="text1" w:themeTint="D8"/>
    </w:rPr>
  </w:style>
  <w:style w:type="paragraph" w:styleId="Title">
    <w:name w:val="Title"/>
    <w:basedOn w:val="Normal"/>
    <w:next w:val="Normal"/>
    <w:link w:val="TitleChar"/>
    <w:uiPriority w:val="10"/>
    <w:qFormat/>
    <w:rsid w:val="00074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FEB"/>
    <w:pPr>
      <w:spacing w:before="160"/>
      <w:jc w:val="center"/>
    </w:pPr>
    <w:rPr>
      <w:i/>
      <w:iCs/>
      <w:color w:val="404040" w:themeColor="text1" w:themeTint="BF"/>
    </w:rPr>
  </w:style>
  <w:style w:type="character" w:customStyle="1" w:styleId="QuoteChar">
    <w:name w:val="Quote Char"/>
    <w:basedOn w:val="DefaultParagraphFont"/>
    <w:link w:val="Quote"/>
    <w:uiPriority w:val="29"/>
    <w:rsid w:val="00074FEB"/>
    <w:rPr>
      <w:i/>
      <w:iCs/>
      <w:color w:val="404040" w:themeColor="text1" w:themeTint="BF"/>
    </w:rPr>
  </w:style>
  <w:style w:type="paragraph" w:styleId="ListParagraph">
    <w:name w:val="List Paragraph"/>
    <w:basedOn w:val="Normal"/>
    <w:uiPriority w:val="34"/>
    <w:qFormat/>
    <w:rsid w:val="00074FEB"/>
    <w:pPr>
      <w:ind w:left="720"/>
      <w:contextualSpacing/>
    </w:pPr>
  </w:style>
  <w:style w:type="character" w:styleId="IntenseEmphasis">
    <w:name w:val="Intense Emphasis"/>
    <w:basedOn w:val="DefaultParagraphFont"/>
    <w:uiPriority w:val="21"/>
    <w:qFormat/>
    <w:rsid w:val="00074FEB"/>
    <w:rPr>
      <w:i/>
      <w:iCs/>
      <w:color w:val="0F4761" w:themeColor="accent1" w:themeShade="BF"/>
    </w:rPr>
  </w:style>
  <w:style w:type="paragraph" w:styleId="IntenseQuote">
    <w:name w:val="Intense Quote"/>
    <w:basedOn w:val="Normal"/>
    <w:next w:val="Normal"/>
    <w:link w:val="IntenseQuoteChar"/>
    <w:uiPriority w:val="30"/>
    <w:qFormat/>
    <w:rsid w:val="00074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FEB"/>
    <w:rPr>
      <w:i/>
      <w:iCs/>
      <w:color w:val="0F4761" w:themeColor="accent1" w:themeShade="BF"/>
    </w:rPr>
  </w:style>
  <w:style w:type="character" w:styleId="IntenseReference">
    <w:name w:val="Intense Reference"/>
    <w:basedOn w:val="DefaultParagraphFont"/>
    <w:uiPriority w:val="32"/>
    <w:qFormat/>
    <w:rsid w:val="00074FEB"/>
    <w:rPr>
      <w:b/>
      <w:bCs/>
      <w:smallCaps/>
      <w:color w:val="0F4761" w:themeColor="accent1" w:themeShade="BF"/>
      <w:spacing w:val="5"/>
    </w:rPr>
  </w:style>
  <w:style w:type="character" w:styleId="Hyperlink">
    <w:name w:val="Hyperlink"/>
    <w:basedOn w:val="DefaultParagraphFont"/>
    <w:uiPriority w:val="99"/>
    <w:unhideWhenUsed/>
    <w:rsid w:val="00C93B1E"/>
    <w:rPr>
      <w:color w:val="467886" w:themeColor="hyperlink"/>
      <w:u w:val="single"/>
    </w:rPr>
  </w:style>
  <w:style w:type="character" w:styleId="UnresolvedMention">
    <w:name w:val="Unresolved Mention"/>
    <w:basedOn w:val="DefaultParagraphFont"/>
    <w:uiPriority w:val="99"/>
    <w:semiHidden/>
    <w:unhideWhenUsed/>
    <w:rsid w:val="00C93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sa.Finney@st-andrews.ac.uk" TargetMode="External"/><Relationship Id="rId3" Type="http://schemas.openxmlformats.org/officeDocument/2006/relationships/webSettings" Target="webSettings.xml"/><Relationship Id="rId7" Type="http://schemas.openxmlformats.org/officeDocument/2006/relationships/hyperlink" Target="http://www.cpc.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ndrews.ac.uk/geography-sustainable-development/research/groups/population-and-health/" TargetMode="External"/><Relationship Id="rId11" Type="http://schemas.openxmlformats.org/officeDocument/2006/relationships/theme" Target="theme/theme1.xml"/><Relationship Id="rId5" Type="http://schemas.openxmlformats.org/officeDocument/2006/relationships/hyperlink" Target="https://www.st-andrews.ac.uk/geography-sustainable-development/people/qh7/" TargetMode="External"/><Relationship Id="rId10" Type="http://schemas.openxmlformats.org/officeDocument/2006/relationships/fontTable" Target="fontTable.xml"/><Relationship Id="rId4" Type="http://schemas.openxmlformats.org/officeDocument/2006/relationships/hyperlink" Target="https://www.st-andrews.ac.uk/geography-sustainable-development/people/nf42" TargetMode="External"/><Relationship Id="rId9" Type="http://schemas.openxmlformats.org/officeDocument/2006/relationships/hyperlink" Target="mailto:qh7@st-andre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Qiong He</dc:creator>
  <cp:keywords/>
  <dc:description/>
  <cp:lastModifiedBy>Nissa Finney</cp:lastModifiedBy>
  <cp:revision>50</cp:revision>
  <dcterms:created xsi:type="dcterms:W3CDTF">2024-12-09T11:05:00Z</dcterms:created>
  <dcterms:modified xsi:type="dcterms:W3CDTF">2024-12-09T12:02:00Z</dcterms:modified>
</cp:coreProperties>
</file>